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自然资源和规划局本级</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2025年收入总表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2025年支出总表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2025年财政拨款收支总表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2025年一般公共预算支出表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2025年一般公共预算基本支出表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2025年政府性基金预算支出表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2025年国有资本经营预算支出表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2025年项目支出表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2025年政府采购支出表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2025年政府购买服务支出表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自然资源和规划局本级</w:t>
      </w:r>
      <w:r>
        <w:rPr>
          <w:rFonts w:ascii="TimesNewRoman" w:hAnsi="TimesNewRoman" w:eastAsia="仿宋_GB2312" w:cs="TimesNewRoman"/>
          <w:bCs/>
          <w:sz w:val="32"/>
          <w:szCs w:val="32"/>
        </w:rPr>
        <w:t>2025年通用资产配置支出表</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6"/>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sz w:val="32"/>
          <w:szCs w:val="32"/>
        </w:rPr>
      </w:pPr>
      <w:r>
        <w:rPr>
          <w:rFonts w:hint="default" w:ascii="仿宋_GB2312" w:hAnsi="Times New Roman" w:eastAsia="仿宋_GB2312" w:cs="仿宋_GB2312"/>
          <w:color w:val="0C0C0C"/>
          <w:kern w:val="2"/>
          <w:sz w:val="32"/>
          <w:szCs w:val="32"/>
          <w:lang w:val="en-US" w:eastAsia="zh-CN" w:bidi="ar"/>
        </w:rPr>
        <w:t>根据《中共安徽省委办公厅、安徽省人民政府办公厅关于</w:t>
      </w:r>
      <w:r>
        <w:rPr>
          <w:rFonts w:hint="eastAsia" w:ascii="仿宋" w:hAnsi="仿宋" w:eastAsia="仿宋" w:cs="仿宋"/>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淮北市机构改革方案</w:t>
      </w:r>
      <w:r>
        <w:rPr>
          <w:rFonts w:hint="eastAsia" w:ascii="仿宋" w:hAnsi="仿宋" w:eastAsia="仿宋" w:cs="仿宋"/>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的通知》（厅〔</w:t>
      </w:r>
      <w:r>
        <w:rPr>
          <w:rFonts w:hint="default" w:ascii="Times New Roman" w:hAnsi="Times New Roman" w:eastAsia="仿宋_GB2312" w:cs="Times New Roman"/>
          <w:color w:val="0C0C0C"/>
          <w:kern w:val="2"/>
          <w:sz w:val="32"/>
          <w:szCs w:val="32"/>
          <w:lang w:val="en-US" w:eastAsia="zh-CN" w:bidi="ar"/>
        </w:rPr>
        <w:t>2019</w:t>
      </w:r>
      <w:r>
        <w:rPr>
          <w:rFonts w:hint="default" w:ascii="仿宋_GB2312" w:hAnsi="Times New Roman" w:eastAsia="仿宋_GB2312" w:cs="仿宋_GB2312"/>
          <w:color w:val="0C0C0C"/>
          <w:kern w:val="2"/>
          <w:sz w:val="32"/>
          <w:szCs w:val="32"/>
          <w:lang w:val="en-US" w:eastAsia="zh-CN" w:bidi="ar"/>
        </w:rPr>
        <w:t>〕</w:t>
      </w:r>
      <w:r>
        <w:rPr>
          <w:rFonts w:hint="default" w:ascii="Times New Roman" w:hAnsi="Times New Roman" w:eastAsia="仿宋_GB2312" w:cs="Times New Roman"/>
          <w:color w:val="0C0C0C"/>
          <w:kern w:val="2"/>
          <w:sz w:val="32"/>
          <w:szCs w:val="32"/>
          <w:lang w:val="en-US" w:eastAsia="zh-CN" w:bidi="ar"/>
        </w:rPr>
        <w:t>2</w:t>
      </w:r>
      <w:r>
        <w:rPr>
          <w:rFonts w:hint="default" w:ascii="仿宋_GB2312" w:hAnsi="Times New Roman" w:eastAsia="仿宋_GB2312" w:cs="仿宋_GB2312"/>
          <w:color w:val="0C0C0C"/>
          <w:kern w:val="2"/>
          <w:sz w:val="32"/>
          <w:szCs w:val="32"/>
          <w:lang w:val="en-US" w:eastAsia="zh-CN" w:bidi="ar"/>
        </w:rPr>
        <w:t>号）和《中共淮北市委、淮北市人民政府关于市级机构改革的实施意见》（淮发〔</w:t>
      </w:r>
      <w:r>
        <w:rPr>
          <w:rFonts w:hint="default" w:ascii="Times New Roman" w:hAnsi="Times New Roman" w:eastAsia="仿宋_GB2312" w:cs="Times New Roman"/>
          <w:color w:val="0C0C0C"/>
          <w:kern w:val="2"/>
          <w:sz w:val="32"/>
          <w:szCs w:val="32"/>
          <w:lang w:val="en-US" w:eastAsia="zh-CN" w:bidi="ar"/>
        </w:rPr>
        <w:t>2019</w:t>
      </w:r>
      <w:r>
        <w:rPr>
          <w:rFonts w:hint="default" w:ascii="仿宋_GB2312" w:hAnsi="Times New Roman" w:eastAsia="仿宋_GB2312" w:cs="仿宋_GB2312"/>
          <w:color w:val="0C0C0C"/>
          <w:kern w:val="2"/>
          <w:sz w:val="32"/>
          <w:szCs w:val="32"/>
          <w:lang w:val="en-US" w:eastAsia="zh-CN" w:bidi="ar"/>
        </w:rPr>
        <w:t>〕</w:t>
      </w:r>
      <w:r>
        <w:rPr>
          <w:rFonts w:hint="default" w:ascii="Times New Roman" w:hAnsi="Times New Roman" w:eastAsia="仿宋_GB2312" w:cs="Times New Roman"/>
          <w:color w:val="0C0C0C"/>
          <w:kern w:val="2"/>
          <w:sz w:val="32"/>
          <w:szCs w:val="32"/>
          <w:lang w:val="en-US" w:eastAsia="zh-CN" w:bidi="ar"/>
        </w:rPr>
        <w:t>2</w:t>
      </w:r>
      <w:r>
        <w:rPr>
          <w:rFonts w:hint="default" w:ascii="仿宋_GB2312" w:hAnsi="Times New Roman" w:eastAsia="仿宋_GB2312" w:cs="仿宋_GB2312"/>
          <w:color w:val="0C0C0C"/>
          <w:kern w:val="2"/>
          <w:sz w:val="32"/>
          <w:szCs w:val="32"/>
          <w:lang w:val="en-US" w:eastAsia="zh-CN" w:bidi="ar"/>
        </w:rPr>
        <w:t>号），制定本规定</w:t>
      </w:r>
      <w:r>
        <w:rPr>
          <w:rFonts w:hint="eastAsia" w:ascii="仿宋_GB2312" w:eastAsia="仿宋_GB2312"/>
          <w:sz w:val="32"/>
          <w:szCs w:val="32"/>
        </w:rPr>
        <w:t>，</w:t>
      </w:r>
      <w:r>
        <w:rPr>
          <w:rFonts w:hint="eastAsia" w:ascii="仿宋_GB2312" w:eastAsia="仿宋_GB2312"/>
          <w:sz w:val="32"/>
          <w:szCs w:val="32"/>
          <w:lang w:eastAsia="zh-CN"/>
        </w:rPr>
        <w:t>淮北市自然资源和规划</w:t>
      </w:r>
      <w:r>
        <w:rPr>
          <w:rFonts w:hint="eastAsia" w:ascii="仿宋_GB2312" w:eastAsia="仿宋_GB2312"/>
          <w:sz w:val="32"/>
          <w:szCs w:val="32"/>
        </w:rPr>
        <w:t>局主要职责是：</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eastAsia"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（四）负责测绘地理信息管理工作。负责基础测绘和测绘行业管理。负责测绘资质资格与信用管理，监督管理国家地理信息安全和市场秩序。负责地理信息公共服务管理。负责测量标志保护。</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keepNext w:val="0"/>
        <w:keepLines w:val="0"/>
        <w:widowControl w:val="0"/>
        <w:suppressLineNumbers w:val="0"/>
        <w:topLinePunct/>
        <w:spacing w:before="0" w:beforeAutospacing="0" w:after="0" w:afterAutospacing="0" w:line="576" w:lineRule="exact"/>
        <w:ind w:left="0" w:right="0" w:firstLine="960" w:firstLineChars="300"/>
        <w:jc w:val="both"/>
        <w:rPr>
          <w:rFonts w:hint="default" w:ascii="Times New Roman" w:hAnsi="Times New Roman" w:eastAsia="仿宋_GB2312" w:cs="Times New Roman"/>
          <w:color w:val="0C0C0C"/>
          <w:kern w:val="2"/>
          <w:sz w:val="32"/>
          <w:szCs w:val="32"/>
          <w:lang w:val="en-US" w:eastAsia="zh-CN" w:bidi="ar"/>
        </w:rPr>
      </w:pPr>
      <w:bookmarkStart w:id="0" w:name="_GoBack"/>
      <w:bookmarkEnd w:id="0"/>
      <w:r>
        <w:rPr>
          <w:rFonts w:hint="default" w:ascii="Times New Roman" w:hAnsi="Times New Roman" w:eastAsia="仿宋_GB2312" w:cs="Times New Roman"/>
          <w:color w:val="0C0C0C"/>
          <w:kern w:val="2"/>
          <w:sz w:val="32"/>
          <w:szCs w:val="32"/>
          <w:lang w:val="en-US" w:eastAsia="zh-CN" w:bidi="ar"/>
        </w:rPr>
        <w:t>（十）</w:t>
      </w:r>
      <w:r>
        <w:rPr>
          <w:rFonts w:hint="eastAsia" w:ascii="Times New Roman" w:hAnsi="Times New Roman" w:eastAsia="仿宋_GB2312" w:cs="Times New Roman"/>
          <w:color w:val="0C0C0C"/>
          <w:kern w:val="2"/>
          <w:sz w:val="32"/>
          <w:szCs w:val="32"/>
          <w:lang w:val="en-US" w:eastAsia="zh-CN" w:bidi="ar"/>
        </w:rPr>
        <w:t>协助做好全市</w:t>
      </w:r>
      <w:r>
        <w:rPr>
          <w:rFonts w:hint="default" w:ascii="Times New Roman" w:hAnsi="Times New Roman" w:eastAsia="仿宋_GB2312" w:cs="Times New Roman"/>
          <w:color w:val="0C0C0C"/>
          <w:kern w:val="2"/>
          <w:sz w:val="32"/>
          <w:szCs w:val="32"/>
          <w:lang w:val="en-US" w:eastAsia="zh-CN" w:bidi="ar"/>
        </w:rPr>
        <w:t>历史文化名城、名镇、名村</w:t>
      </w:r>
      <w:r>
        <w:rPr>
          <w:rFonts w:hint="eastAsia" w:ascii="Times New Roman" w:hAnsi="Times New Roman" w:eastAsia="仿宋_GB2312" w:cs="Times New Roman"/>
          <w:color w:val="0C0C0C"/>
          <w:kern w:val="2"/>
          <w:sz w:val="32"/>
          <w:szCs w:val="32"/>
          <w:lang w:val="en-US" w:eastAsia="zh-CN" w:bidi="ar"/>
        </w:rPr>
        <w:t>、街区和历史建筑的报批、保护规划编制及保护和监督管理工作</w:t>
      </w:r>
      <w:r>
        <w:rPr>
          <w:rFonts w:hint="default" w:ascii="Times New Roman" w:hAnsi="Times New Roman" w:eastAsia="仿宋_GB2312" w:cs="Times New Roman"/>
          <w:color w:val="0C0C0C"/>
          <w:kern w:val="2"/>
          <w:sz w:val="32"/>
          <w:szCs w:val="32"/>
          <w:lang w:val="en-US" w:eastAsia="zh-CN" w:bidi="ar"/>
        </w:rPr>
        <w:t>。</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（十二）负责落实综合防灾减灾规划相关要求，组织编制地质灾害防治规划</w:t>
      </w:r>
      <w:r>
        <w:rPr>
          <w:rFonts w:hint="default" w:ascii="Times New Roman" w:hAnsi="Times New Roman" w:eastAsia="仿宋_GB2312" w:cs="Times New Roman"/>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（十六）查处自然资源开发利用和国土空间规划及测绘重大违法案件。指导濉溪县有关行政执法工作。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（十七）统一领导和管理市林业局。</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（十八）完成市委、市政府交办的其他任务。</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keepNext w:val="0"/>
        <w:keepLines w:val="0"/>
        <w:widowControl w:val="0"/>
        <w:suppressLineNumbers w:val="0"/>
        <w:topLinePunct/>
        <w:spacing w:before="0" w:beforeAutospacing="0" w:after="0" w:afterAutospacing="0" w:line="576" w:lineRule="exact"/>
        <w:ind w:left="0" w:right="0"/>
        <w:jc w:val="both"/>
        <w:rPr>
          <w:rFonts w:hint="eastAsia" w:ascii="仿宋_GB2312" w:eastAsia="仿宋_GB231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w:t>
      </w:r>
      <w:r>
        <w:rPr>
          <w:rFonts w:hint="default" w:ascii="Times New Roman" w:hAnsi="Times New Roman" w:eastAsia="仿宋_GB2312" w:cs="Times New Roman"/>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属地管理、分级负责，谁主管、谁负责</w:t>
      </w:r>
      <w:r>
        <w:rPr>
          <w:rFonts w:hint="default" w:ascii="Times New Roman" w:hAnsi="Times New Roman" w:eastAsia="仿宋_GB2312" w:cs="Times New Roman"/>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的原则，督促相关部门对建材、墙材企业（砖瓦窑厂）生产经营行为进行日常核查与监管，做好污染防治工作。</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预算仅包括局本级预算，无其他下属单位预算。</w:t>
      </w:r>
    </w:p>
    <w:p>
      <w:pPr>
        <w:pStyle w:val="6"/>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三、2025年度主要工作任务</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楷体_GB2312" w:hAnsi="楷体_GB2312" w:eastAsia="楷体_GB2312" w:cs="楷体_GB2312"/>
          <w:b w:val="0"/>
          <w:bCs w:val="0"/>
          <w:color w:val="auto"/>
          <w:kern w:val="2"/>
          <w:sz w:val="32"/>
          <w:szCs w:val="32"/>
          <w:u w:val="none" w:color="auto"/>
          <w:lang w:val="en-US" w:eastAsia="zh-CN" w:bidi="ar-SA"/>
        </w:rPr>
      </w:pP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一</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w:t>
      </w: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坚持党建引领，</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持之以恒正风纪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（一）学习党的创新理论。</w:t>
      </w:r>
      <w:r>
        <w:rPr>
          <w:rFonts w:hint="eastAsia" w:ascii="仿宋_GB2312" w:hAnsi="仿宋_GB2312" w:eastAsia="仿宋_GB2312" w:cs="仿宋_GB2312"/>
          <w:color w:val="auto"/>
          <w:sz w:val="32"/>
          <w:szCs w:val="32"/>
          <w:u w:val="none" w:color="auto"/>
          <w:lang w:val="en-US" w:eastAsia="zh-CN"/>
        </w:rPr>
        <w:t>深入学习宣传贯彻习近平总书记考察安徽重要讲话精神、习近平总书记关于自然资源工作重要论述，贯彻落实党的二十大和二十届二中、三中全会精神。巩固拓展党纪学习教育成果，深化开展政治机关意识教育。组织开展红色基地研学、专题党课等党性教育活动，增强党性修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val="0"/>
          <w:color w:val="auto"/>
          <w:spacing w:val="0"/>
          <w:w w:val="100"/>
          <w:kern w:val="2"/>
          <w:position w:val="0"/>
          <w:sz w:val="32"/>
          <w:szCs w:val="32"/>
          <w:u w:val="none"/>
          <w:vertAlign w:val="baseline"/>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（二）优化基层组织架构。</w:t>
      </w:r>
      <w:r>
        <w:rPr>
          <w:rFonts w:hint="eastAsia" w:ascii="仿宋_GB2312" w:hAnsi="仿宋_GB2312" w:eastAsia="仿宋_GB2312" w:cs="仿宋_GB2312"/>
          <w:b w:val="0"/>
          <w:bCs w:val="0"/>
          <w:color w:val="auto"/>
          <w:spacing w:val="0"/>
          <w:w w:val="100"/>
          <w:kern w:val="2"/>
          <w:position w:val="0"/>
          <w:sz w:val="32"/>
          <w:szCs w:val="32"/>
          <w:u w:val="none"/>
          <w:vertAlign w:val="baseline"/>
          <w:lang w:val="en-US" w:eastAsia="zh-CN" w:bidi="ar-SA"/>
        </w:rPr>
        <w:t>理顺基层党组织设置，落实机关党委换届选举工作，调整支部架构，选优配强党组织班子。分层分类选树“四强”党支部典型，把党建品牌优势转化为促进中心工作的实际效能，形成党建促业务、业务强党建的工作合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val="0"/>
          <w:bCs w:val="0"/>
          <w:color w:val="auto"/>
          <w:kern w:val="2"/>
          <w:sz w:val="32"/>
          <w:szCs w:val="32"/>
          <w:u w:val="none" w:color="auto"/>
          <w:lang w:val="en-US" w:eastAsia="zh-CN" w:bidi="ar-SA"/>
        </w:rPr>
        <w:t>（三）加强干部队伍建设。</w:t>
      </w:r>
      <w:r>
        <w:rPr>
          <w:rFonts w:hint="eastAsia" w:ascii="仿宋_GB2312" w:hAnsi="仿宋_GB2312" w:eastAsia="仿宋_GB2312" w:cs="仿宋_GB2312"/>
          <w:color w:val="auto"/>
          <w:kern w:val="0"/>
          <w:sz w:val="32"/>
          <w:szCs w:val="32"/>
          <w:lang w:val="en-US" w:eastAsia="zh-CN"/>
        </w:rPr>
        <w:t>推进实施</w:t>
      </w:r>
      <w:r>
        <w:rPr>
          <w:rFonts w:hint="eastAsia" w:ascii="仿宋_GB2312" w:hAnsi="仿宋_GB2312" w:eastAsia="仿宋_GB2312" w:cs="仿宋_GB2312"/>
          <w:color w:val="auto"/>
          <w:kern w:val="0"/>
          <w:sz w:val="32"/>
          <w:szCs w:val="32"/>
        </w:rPr>
        <w:t>机关及部分事业单位改革，培育优秀年轻干部“增量”，补充壮大机关骨干及分局和事业单位基层力量，</w:t>
      </w:r>
      <w:r>
        <w:rPr>
          <w:rFonts w:hint="eastAsia" w:ascii="仿宋_GB2312" w:hAnsi="仿宋_GB2312" w:eastAsia="仿宋_GB2312" w:cs="仿宋_GB2312"/>
          <w:color w:val="auto"/>
          <w:kern w:val="0"/>
          <w:sz w:val="32"/>
          <w:szCs w:val="32"/>
          <w:lang w:val="en-US" w:eastAsia="zh-CN"/>
        </w:rPr>
        <w:t>推动干部队伍健康有序发展。</w:t>
      </w:r>
      <w:r>
        <w:rPr>
          <w:rFonts w:hint="eastAsia" w:ascii="仿宋_GB2312" w:hAnsi="仿宋_GB2312" w:eastAsia="仿宋_GB2312" w:cs="仿宋_GB2312"/>
          <w:color w:val="auto"/>
          <w:kern w:val="0"/>
          <w:sz w:val="32"/>
          <w:szCs w:val="32"/>
        </w:rPr>
        <w:t>依托大讲堂、</w:t>
      </w:r>
      <w:r>
        <w:rPr>
          <w:rFonts w:hint="eastAsia" w:ascii="仿宋_GB2312" w:hAnsi="仿宋_GB2312" w:eastAsia="仿宋_GB2312" w:cs="仿宋_GB2312"/>
          <w:color w:val="auto"/>
          <w:kern w:val="0"/>
          <w:sz w:val="32"/>
          <w:szCs w:val="32"/>
          <w:lang w:val="en-US" w:eastAsia="zh-CN"/>
        </w:rPr>
        <w:t>网络培</w:t>
      </w:r>
      <w:r>
        <w:rPr>
          <w:rFonts w:hint="eastAsia" w:ascii="仿宋_GB2312" w:hAnsi="仿宋_GB2312" w:eastAsia="仿宋_GB2312" w:cs="仿宋_GB2312"/>
          <w:color w:val="auto"/>
          <w:kern w:val="0"/>
          <w:sz w:val="32"/>
          <w:szCs w:val="32"/>
        </w:rPr>
        <w:t>训、</w:t>
      </w:r>
      <w:r>
        <w:rPr>
          <w:rFonts w:hint="eastAsia" w:ascii="仿宋_GB2312" w:hAnsi="仿宋_GB2312" w:eastAsia="仿宋_GB2312" w:cs="仿宋_GB2312"/>
          <w:color w:val="auto"/>
          <w:kern w:val="0"/>
          <w:sz w:val="32"/>
          <w:szCs w:val="32"/>
          <w:lang w:val="en-US" w:eastAsia="zh-CN"/>
        </w:rPr>
        <w:t>组织</w:t>
      </w:r>
      <w:r>
        <w:rPr>
          <w:rFonts w:hint="eastAsia" w:ascii="仿宋_GB2312" w:hAnsi="仿宋_GB2312" w:eastAsia="仿宋_GB2312" w:cs="仿宋_GB2312"/>
          <w:color w:val="auto"/>
          <w:kern w:val="0"/>
          <w:sz w:val="32"/>
          <w:szCs w:val="32"/>
        </w:rPr>
        <w:t>调训等</w:t>
      </w:r>
      <w:r>
        <w:rPr>
          <w:rFonts w:hint="eastAsia" w:ascii="仿宋_GB2312" w:hAnsi="仿宋_GB2312" w:eastAsia="仿宋_GB2312" w:cs="仿宋_GB2312"/>
          <w:color w:val="auto"/>
          <w:kern w:val="0"/>
          <w:sz w:val="32"/>
          <w:szCs w:val="32"/>
          <w:lang w:val="en-US" w:eastAsia="zh-CN"/>
        </w:rPr>
        <w:t>平台，</w:t>
      </w:r>
      <w:r>
        <w:rPr>
          <w:rFonts w:hint="eastAsia" w:ascii="仿宋_GB2312" w:hAnsi="仿宋_GB2312" w:eastAsia="仿宋_GB2312" w:cs="仿宋_GB2312"/>
          <w:color w:val="auto"/>
          <w:kern w:val="0"/>
          <w:sz w:val="32"/>
          <w:szCs w:val="32"/>
        </w:rPr>
        <w:t>多领域、分层次做好干部教育培训工作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丰富</w:t>
      </w:r>
      <w:r>
        <w:rPr>
          <w:rFonts w:hint="eastAsia" w:ascii="仿宋_GB2312" w:hAnsi="仿宋_GB2312" w:eastAsia="仿宋_GB2312" w:cs="仿宋_GB2312"/>
          <w:color w:val="auto"/>
          <w:kern w:val="0"/>
          <w:sz w:val="32"/>
          <w:szCs w:val="32"/>
          <w:lang w:val="en-US" w:eastAsia="zh-CN"/>
        </w:rPr>
        <w:t>提升全系统干部职工</w:t>
      </w:r>
      <w:r>
        <w:rPr>
          <w:rFonts w:hint="eastAsia" w:ascii="仿宋_GB2312" w:hAnsi="仿宋_GB2312" w:eastAsia="仿宋_GB2312" w:cs="仿宋_GB2312"/>
          <w:color w:val="auto"/>
          <w:kern w:val="0"/>
          <w:sz w:val="32"/>
          <w:szCs w:val="32"/>
        </w:rPr>
        <w:t>行政知识及业务技能储备。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NewRomanPSMT" w:hAnsi="TimesNewRomanPSMT" w:eastAsia="CESI楷体-GB2312" w:cs="TimesNewRomanPSMT"/>
          <w:b/>
          <w:bCs/>
          <w:color w:val="auto"/>
          <w:kern w:val="2"/>
          <w:sz w:val="32"/>
          <w:szCs w:val="32"/>
          <w:u w:val="none" w:color="auto"/>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（四）落实全面从严治党。</w:t>
      </w:r>
      <w:r>
        <w:rPr>
          <w:rFonts w:hint="eastAsia" w:ascii="仿宋_GB2312" w:hAnsi="仿宋_GB2312" w:eastAsia="仿宋_GB2312" w:cs="仿宋_GB2312"/>
          <w:b w:val="0"/>
          <w:bCs/>
          <w:color w:val="auto"/>
          <w:kern w:val="2"/>
          <w:sz w:val="32"/>
          <w:szCs w:val="32"/>
          <w:highlight w:val="none"/>
          <w:u w:val="none" w:color="auto"/>
          <w:lang w:val="en-US" w:eastAsia="zh-CN" w:bidi="ar-SA"/>
        </w:rPr>
        <w:t>严格落实党组织抓党建主体责任、党委书记第一责任人和班子成员“一岗双责”。加强同驻局纪检组会商，紧盯自然资源和规划重点问题、重点对象、重点领域，深化运用监督执纪“四种形态”，做到有案必查、有腐必惩，纵深推进党风廉政建设和反腐败斗争。</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NewRomanPSMT" w:hAnsi="TimesNewRomanPSMT" w:eastAsia="CESI黑体-GB2312" w:cs="TimesNewRomanPSMT"/>
          <w:b w:val="0"/>
          <w:bCs/>
          <w:color w:val="auto"/>
          <w:kern w:val="2"/>
          <w:sz w:val="32"/>
          <w:szCs w:val="32"/>
          <w:highlight w:val="none"/>
          <w:u w:val="none" w:color="auto"/>
          <w:lang w:val="en-US" w:eastAsia="zh-CN" w:bidi="ar-SA"/>
        </w:rPr>
      </w:pP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二、</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立足要素保障，</w:t>
      </w: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靠前服务提效能</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（一）加快项目用地审批。</w:t>
      </w:r>
      <w:r>
        <w:rPr>
          <w:rFonts w:hint="default" w:ascii="Times New Roman" w:hAnsi="Times New Roman" w:eastAsia="仿宋_GB2312" w:cs="Times New Roman"/>
          <w:b w:val="0"/>
          <w:bCs w:val="0"/>
          <w:kern w:val="2"/>
          <w:sz w:val="32"/>
          <w:szCs w:val="32"/>
          <w:lang w:val="en-US" w:eastAsia="zh-CN" w:bidi="ar-SA"/>
        </w:rPr>
        <w:t>拓展延伸土地要素会商机制，</w:t>
      </w:r>
      <w:r>
        <w:rPr>
          <w:rFonts w:hint="eastAsia" w:ascii="Times New Roman" w:hAnsi="Times New Roman" w:eastAsia="仿宋_GB2312" w:cs="Times New Roman"/>
          <w:b w:val="0"/>
          <w:bCs w:val="0"/>
          <w:color w:val="auto"/>
          <w:kern w:val="2"/>
          <w:sz w:val="32"/>
          <w:szCs w:val="32"/>
          <w:lang w:val="en-US" w:eastAsia="zh-CN" w:bidi="ar-SA"/>
        </w:rPr>
        <w:t>协同做好</w:t>
      </w:r>
      <w:r>
        <w:rPr>
          <w:rFonts w:hint="default" w:ascii="Times New Roman" w:hAnsi="Times New Roman" w:eastAsia="仿宋_GB2312" w:cs="Times New Roman"/>
          <w:b w:val="0"/>
          <w:bCs w:val="0"/>
          <w:color w:val="auto"/>
          <w:kern w:val="2"/>
          <w:sz w:val="32"/>
          <w:szCs w:val="32"/>
          <w:lang w:val="en-US" w:eastAsia="zh-CN" w:bidi="ar-SA"/>
        </w:rPr>
        <w:t>重大基础设施项目用地全程包保服务</w:t>
      </w:r>
      <w:r>
        <w:rPr>
          <w:rFonts w:hint="eastAsia" w:ascii="Times New Roman" w:hAnsi="Times New Roman" w:eastAsia="仿宋_GB2312" w:cs="Times New Roman"/>
          <w:b w:val="0"/>
          <w:bCs w:val="0"/>
          <w:color w:val="auto"/>
          <w:kern w:val="2"/>
          <w:sz w:val="32"/>
          <w:szCs w:val="32"/>
          <w:lang w:val="en-US" w:eastAsia="zh-CN" w:bidi="ar-SA"/>
        </w:rPr>
        <w:t>。精准</w:t>
      </w:r>
      <w:r>
        <w:rPr>
          <w:rFonts w:hint="default" w:ascii="Times New Roman" w:hAnsi="Times New Roman" w:eastAsia="仿宋_GB2312" w:cs="Times New Roman"/>
          <w:b w:val="0"/>
          <w:bCs w:val="0"/>
          <w:kern w:val="2"/>
          <w:sz w:val="32"/>
          <w:szCs w:val="32"/>
          <w:lang w:val="en-US" w:eastAsia="zh-CN" w:bidi="ar-SA"/>
        </w:rPr>
        <w:t>统筹</w:t>
      </w:r>
      <w:r>
        <w:rPr>
          <w:rFonts w:hint="eastAsia" w:ascii="Times New Roman" w:hAnsi="Times New Roman" w:eastAsia="仿宋_GB2312" w:cs="Times New Roman"/>
          <w:b w:val="0"/>
          <w:bCs w:val="0"/>
          <w:kern w:val="2"/>
          <w:sz w:val="32"/>
          <w:szCs w:val="32"/>
          <w:lang w:val="en-US" w:eastAsia="zh-CN" w:bidi="ar-SA"/>
        </w:rPr>
        <w:t>配置</w:t>
      </w:r>
      <w:r>
        <w:rPr>
          <w:rFonts w:hint="default" w:ascii="Times New Roman" w:hAnsi="Times New Roman" w:eastAsia="仿宋_GB2312" w:cs="Times New Roman"/>
          <w:b w:val="0"/>
          <w:bCs w:val="0"/>
          <w:kern w:val="2"/>
          <w:sz w:val="32"/>
          <w:szCs w:val="32"/>
          <w:lang w:val="en-US" w:eastAsia="zh-CN" w:bidi="ar-SA"/>
        </w:rPr>
        <w:t>年度用地计划</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严格</w:t>
      </w:r>
      <w:r>
        <w:rPr>
          <w:rFonts w:hint="default" w:ascii="Times New Roman" w:hAnsi="Times New Roman" w:eastAsia="仿宋_GB2312" w:cs="Times New Roman"/>
          <w:b w:val="0"/>
          <w:bCs w:val="0"/>
          <w:color w:val="auto"/>
          <w:kern w:val="2"/>
          <w:sz w:val="32"/>
          <w:szCs w:val="32"/>
          <w:lang w:val="en-US" w:eastAsia="zh-CN" w:bidi="ar-SA"/>
        </w:rPr>
        <w:t>组卷质量和审查标准</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持续提升用地审批效率</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全力保障省</w:t>
      </w:r>
      <w:r>
        <w:rPr>
          <w:rFonts w:hint="default" w:ascii="Times New Roman" w:hAnsi="Times New Roman" w:eastAsia="仿宋_GB2312" w:cs="Times New Roman"/>
          <w:b w:val="0"/>
          <w:bCs w:val="0"/>
          <w:color w:val="auto"/>
          <w:kern w:val="2"/>
          <w:sz w:val="32"/>
          <w:szCs w:val="32"/>
          <w:lang w:val="en-US" w:eastAsia="zh-CN" w:bidi="ar-SA"/>
        </w:rPr>
        <w:t>市重点项目用地需求</w:t>
      </w:r>
      <w:r>
        <w:rPr>
          <w:rFonts w:hint="eastAsia"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推动自然资源要素保障从“应保尽保”向“应保快保”提升。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（二）优化土地储备出让。</w:t>
      </w:r>
      <w:r>
        <w:rPr>
          <w:rFonts w:hint="eastAsia" w:ascii="Times New Roman" w:hAnsi="Times New Roman" w:eastAsia="仿宋_GB2312" w:cs="Times New Roman"/>
          <w:b w:val="0"/>
          <w:bCs w:val="0"/>
          <w:kern w:val="2"/>
          <w:sz w:val="32"/>
          <w:szCs w:val="32"/>
          <w:lang w:val="en-US" w:eastAsia="zh-CN" w:bidi="ar-SA"/>
        </w:rPr>
        <w:t>精准编制土地年度供储计划，加快收储地块征地拆迁进度，缩短“净地”转化时间。借助“平台招商”“产业招商”等新模式，加大优质地块招商推介力度，提升土地出让收支管理水平。</w:t>
      </w:r>
      <w:r>
        <w:rPr>
          <w:rFonts w:hint="eastAsia" w:ascii="Times New Roman" w:hAnsi="Times New Roman" w:eastAsia="仿宋_GB2312" w:cs="Times New Roman"/>
          <w:b w:val="0"/>
          <w:bCs w:val="0"/>
          <w:color w:val="auto"/>
          <w:kern w:val="2"/>
          <w:sz w:val="32"/>
          <w:szCs w:val="32"/>
          <w:lang w:val="en-US" w:eastAsia="zh-CN" w:bidi="ar-SA"/>
        </w:rPr>
        <w:t>合理控制新增房地产用地供应，推进存量闲置房地产用地清理。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0" w:firstLineChars="200"/>
        <w:jc w:val="both"/>
        <w:textAlignment w:val="auto"/>
        <w:outlineLvl w:val="0"/>
        <w:rPr>
          <w:rFonts w:hint="eastAsia" w:ascii="Calibri" w:hAnsi="Calibri" w:eastAsia="宋体"/>
          <w:b/>
          <w:bCs/>
          <w:color w:val="0000FF"/>
          <w:sz w:val="21"/>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（三）盘活闲置存量土地。</w:t>
      </w:r>
      <w:r>
        <w:rPr>
          <w:rFonts w:hint="default" w:ascii="Times New Roman" w:hAnsi="Times New Roman" w:eastAsia="仿宋_GB2312" w:cs="Times New Roman"/>
          <w:b w:val="0"/>
          <w:bCs w:val="0"/>
          <w:kern w:val="2"/>
          <w:sz w:val="32"/>
          <w:szCs w:val="32"/>
          <w:lang w:val="en-US" w:eastAsia="zh-CN" w:bidi="ar-SA"/>
        </w:rPr>
        <w:t>优化土地分割转让，推动土地二级市场</w:t>
      </w:r>
      <w:r>
        <w:rPr>
          <w:rFonts w:hint="eastAsia" w:eastAsia="仿宋_GB2312" w:cs="Times New Roman"/>
          <w:b w:val="0"/>
          <w:bCs w:val="0"/>
          <w:kern w:val="2"/>
          <w:sz w:val="32"/>
          <w:szCs w:val="32"/>
          <w:lang w:val="en-US" w:eastAsia="zh-CN" w:bidi="ar-SA"/>
        </w:rPr>
        <w:t>建设</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推进</w:t>
      </w:r>
      <w:r>
        <w:rPr>
          <w:rFonts w:hint="default" w:ascii="Times New Roman" w:hAnsi="Times New Roman" w:eastAsia="仿宋_GB2312" w:cs="Times New Roman"/>
          <w:b w:val="0"/>
          <w:bCs w:val="0"/>
          <w:kern w:val="2"/>
          <w:sz w:val="32"/>
          <w:szCs w:val="32"/>
          <w:lang w:val="en-US" w:eastAsia="zh-CN" w:bidi="ar-SA"/>
        </w:rPr>
        <w:t>土地节约集约利用综合改革</w:t>
      </w:r>
      <w:r>
        <w:rPr>
          <w:rFonts w:hint="eastAsia" w:ascii="Times New Roman" w:hAnsi="Times New Roman" w:eastAsia="仿宋_GB2312" w:cs="Times New Roman"/>
          <w:b w:val="0"/>
          <w:bCs w:val="0"/>
          <w:kern w:val="2"/>
          <w:sz w:val="32"/>
          <w:szCs w:val="32"/>
          <w:lang w:val="en-US" w:eastAsia="zh-CN" w:bidi="ar-SA"/>
        </w:rPr>
        <w:t>2.0版，全面完成试点各项改革任务</w:t>
      </w:r>
      <w:r>
        <w:rPr>
          <w:rFonts w:hint="eastAsia"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加大</w:t>
      </w:r>
      <w:r>
        <w:rPr>
          <w:rFonts w:hint="default" w:ascii="Times New Roman" w:hAnsi="Times New Roman" w:eastAsia="仿宋_GB2312" w:cs="Times New Roman"/>
          <w:b w:val="0"/>
          <w:bCs w:val="0"/>
          <w:kern w:val="2"/>
          <w:sz w:val="32"/>
          <w:szCs w:val="32"/>
          <w:lang w:val="en-US" w:eastAsia="zh-CN" w:bidi="ar-SA"/>
        </w:rPr>
        <w:t>批而未供、闲置和低效土地处置盘活力度。</w:t>
      </w:r>
      <w:r>
        <w:rPr>
          <w:rFonts w:hint="eastAsia" w:ascii="Times New Roman" w:hAnsi="Times New Roman" w:eastAsia="仿宋_GB2312" w:cs="Times New Roman"/>
          <w:b w:val="0"/>
          <w:bCs w:val="0"/>
          <w:color w:val="000000"/>
          <w:kern w:val="2"/>
          <w:sz w:val="32"/>
          <w:szCs w:val="32"/>
          <w:lang w:val="en-US" w:eastAsia="zh-CN" w:bidi="ar-SA"/>
        </w:rPr>
        <w:t>稳妥</w:t>
      </w:r>
      <w:r>
        <w:rPr>
          <w:rFonts w:hint="default" w:ascii="Times New Roman" w:hAnsi="Times New Roman" w:eastAsia="仿宋_GB2312" w:cs="Times New Roman"/>
          <w:b w:val="0"/>
          <w:bCs w:val="0"/>
          <w:color w:val="000000"/>
          <w:kern w:val="2"/>
          <w:sz w:val="32"/>
          <w:szCs w:val="32"/>
          <w:lang w:val="en-US" w:eastAsia="zh-CN" w:bidi="ar-SA"/>
        </w:rPr>
        <w:t>有序推进农村集体经营性建设用地入市。</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NewRomanPSMT" w:hAnsi="TimesNewRomanPSMT" w:eastAsia="CESI黑体-GB2312" w:cs="TimesNewRomanPSMT"/>
          <w:b w:val="0"/>
          <w:bCs/>
          <w:color w:val="auto"/>
          <w:kern w:val="2"/>
          <w:sz w:val="32"/>
          <w:szCs w:val="32"/>
          <w:highlight w:val="none"/>
          <w:u w:val="none" w:color="auto"/>
          <w:lang w:val="en-US" w:eastAsia="zh-CN" w:bidi="ar-SA"/>
        </w:rPr>
      </w:pP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三、助力城乡融合，</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找准</w:t>
      </w: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规划</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切入点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（一）布局城市发展空间。</w:t>
      </w:r>
      <w:r>
        <w:rPr>
          <w:rFonts w:hint="eastAsia" w:ascii="仿宋_GB2312" w:hAnsi="仿宋_GB2312" w:eastAsia="仿宋_GB2312" w:cs="仿宋_GB2312"/>
          <w:b w:val="0"/>
          <w:bCs w:val="0"/>
          <w:sz w:val="32"/>
          <w:szCs w:val="32"/>
          <w:lang w:val="en-US" w:eastAsia="zh-CN"/>
        </w:rPr>
        <w:t>推进国土空间规划“一张图”系统和国土空间基础信息平台建设。</w:t>
      </w:r>
      <w:r>
        <w:rPr>
          <w:rFonts w:hint="eastAsia" w:ascii="Times New Roman" w:hAnsi="Times New Roman" w:eastAsia="仿宋_GB2312" w:cs="Times New Roman"/>
          <w:b w:val="0"/>
          <w:bCs w:val="0"/>
          <w:sz w:val="32"/>
          <w:szCs w:val="32"/>
          <w:lang w:val="en-US" w:eastAsia="zh-CN"/>
        </w:rPr>
        <w:t>基本完成</w:t>
      </w:r>
      <w:r>
        <w:rPr>
          <w:rFonts w:hint="default" w:ascii="Times New Roman" w:hAnsi="Times New Roman" w:eastAsia="仿宋_GB2312" w:cs="Times New Roman"/>
          <w:b w:val="0"/>
          <w:bCs w:val="0"/>
          <w:sz w:val="32"/>
          <w:szCs w:val="32"/>
          <w:lang w:val="en-US" w:eastAsia="zh-CN"/>
        </w:rPr>
        <w:t>镇级国土空间总体规划</w:t>
      </w:r>
      <w:r>
        <w:rPr>
          <w:rFonts w:hint="eastAsia" w:ascii="Times New Roman" w:hAnsi="Times New Roman" w:eastAsia="仿宋_GB2312" w:cs="Times New Roman"/>
          <w:b w:val="0"/>
          <w:bCs w:val="0"/>
          <w:sz w:val="32"/>
          <w:szCs w:val="32"/>
          <w:lang w:val="en-US" w:eastAsia="zh-CN"/>
        </w:rPr>
        <w:t>和单元详细规划</w:t>
      </w:r>
      <w:r>
        <w:rPr>
          <w:rFonts w:hint="default" w:ascii="Times New Roman" w:hAnsi="Times New Roman" w:eastAsia="仿宋_GB2312" w:cs="Times New Roman"/>
          <w:b w:val="0"/>
          <w:bCs w:val="0"/>
          <w:sz w:val="32"/>
          <w:szCs w:val="32"/>
          <w:lang w:val="en-US" w:eastAsia="zh-CN"/>
        </w:rPr>
        <w:t>编制</w:t>
      </w:r>
      <w:r>
        <w:rPr>
          <w:rFonts w:hint="eastAsia" w:ascii="Times New Roman" w:hAnsi="Times New Roman" w:eastAsia="仿宋_GB2312" w:cs="Times New Roman"/>
          <w:b w:val="0"/>
          <w:bCs w:val="0"/>
          <w:sz w:val="32"/>
          <w:szCs w:val="32"/>
          <w:lang w:val="en-US" w:eastAsia="zh-CN"/>
        </w:rPr>
        <w:t>审批</w:t>
      </w:r>
      <w:r>
        <w:rPr>
          <w:rFonts w:hint="default" w:ascii="Times New Roman" w:hAnsi="Times New Roman" w:eastAsia="仿宋_GB2312" w:cs="Times New Roman"/>
          <w:b w:val="0"/>
          <w:bCs w:val="0"/>
          <w:sz w:val="32"/>
          <w:szCs w:val="32"/>
          <w:lang w:val="en-US" w:eastAsia="zh-CN"/>
        </w:rPr>
        <w:t>。谋划推进国土空间规划中</w:t>
      </w:r>
      <w:r>
        <w:rPr>
          <w:rFonts w:hint="default" w:ascii="Times New Roman" w:hAnsi="Times New Roman" w:eastAsia="仿宋_GB2312" w:cs="Times New Roman"/>
          <w:b w:val="0"/>
          <w:bCs w:val="0"/>
          <w:color w:val="auto"/>
          <w:sz w:val="32"/>
          <w:szCs w:val="32"/>
          <w:lang w:val="en-US" w:eastAsia="zh-CN"/>
        </w:rPr>
        <w:t>期评估</w:t>
      </w:r>
      <w:r>
        <w:rPr>
          <w:rFonts w:hint="eastAsia" w:ascii="Times New Roman" w:hAnsi="Times New Roman" w:eastAsia="仿宋_GB2312" w:cs="Times New Roman"/>
          <w:b w:val="0"/>
          <w:bCs w:val="0"/>
          <w:color w:val="auto"/>
          <w:sz w:val="32"/>
          <w:szCs w:val="32"/>
          <w:lang w:val="en-US" w:eastAsia="zh-CN"/>
        </w:rPr>
        <w:t>。做好城镇开发边界局部优化。科学规范出</w:t>
      </w:r>
      <w:r>
        <w:rPr>
          <w:rFonts w:hint="eastAsia" w:ascii="Times New Roman" w:hAnsi="Times New Roman" w:eastAsia="仿宋_GB2312" w:cs="Times New Roman"/>
          <w:b w:val="0"/>
          <w:bCs w:val="0"/>
          <w:sz w:val="32"/>
          <w:szCs w:val="32"/>
          <w:lang w:val="en-US" w:eastAsia="zh-CN"/>
        </w:rPr>
        <w:t>具土地使用规划条件，高效做好成片开发方案编审。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Calibri" w:hAnsi="Calibri" w:eastAsia="宋体"/>
          <w:sz w:val="21"/>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（二）助力城乡规划建设。</w:t>
      </w:r>
      <w:r>
        <w:rPr>
          <w:rFonts w:hint="eastAsia" w:ascii="Times New Roman" w:hAnsi="Times New Roman" w:eastAsia="仿宋_GB2312" w:cs="Times New Roman"/>
          <w:b w:val="0"/>
          <w:bCs w:val="0"/>
          <w:sz w:val="32"/>
          <w:szCs w:val="32"/>
          <w:lang w:val="en-US" w:eastAsia="zh-CN"/>
        </w:rPr>
        <w:t>全面落实</w:t>
      </w:r>
      <w:r>
        <w:rPr>
          <w:rFonts w:hint="default" w:ascii="Times New Roman" w:hAnsi="Times New Roman" w:eastAsia="仿宋_GB2312" w:cs="Times New Roman"/>
          <w:b w:val="0"/>
          <w:bCs w:val="0"/>
          <w:sz w:val="32"/>
          <w:szCs w:val="32"/>
          <w:lang w:val="en-US" w:eastAsia="zh-CN"/>
        </w:rPr>
        <w:t>水电气网“随路先建”</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方案</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优化新建小区供电线路规划方案审查</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加强组织统筹、上下联动，研究出台加强建设项目批后、事中、事后监管相关管理办法，确保项目从“纸面”到“地面”不走样。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（三）绘就乡村振兴画卷。</w:t>
      </w:r>
      <w:r>
        <w:rPr>
          <w:rFonts w:hint="eastAsia" w:ascii="Times New Roman" w:hAnsi="Times New Roman" w:eastAsia="仿宋_GB2312" w:cs="Times New Roman"/>
          <w:b w:val="0"/>
          <w:bCs w:val="0"/>
          <w:sz w:val="32"/>
          <w:szCs w:val="32"/>
          <w:lang w:val="en-US" w:eastAsia="zh-CN"/>
        </w:rPr>
        <w:t>充分发挥村庄规划引领作用，因地制宜推进</w:t>
      </w:r>
      <w:r>
        <w:rPr>
          <w:rFonts w:hint="default" w:ascii="Times New Roman" w:hAnsi="Times New Roman" w:eastAsia="仿宋_GB2312" w:cs="Times New Roman"/>
          <w:b w:val="0"/>
          <w:bCs w:val="0"/>
          <w:sz w:val="32"/>
          <w:szCs w:val="32"/>
          <w:lang w:val="en-US" w:eastAsia="zh-CN"/>
        </w:rPr>
        <w:t>乡村规划</w:t>
      </w:r>
      <w:r>
        <w:rPr>
          <w:rFonts w:hint="eastAsia" w:ascii="Times New Roman" w:hAnsi="Times New Roman" w:eastAsia="仿宋_GB2312" w:cs="Times New Roman"/>
          <w:b w:val="0"/>
          <w:bCs w:val="0"/>
          <w:sz w:val="32"/>
          <w:szCs w:val="32"/>
          <w:lang w:val="en-US" w:eastAsia="zh-CN"/>
        </w:rPr>
        <w:t>编制工作。加强村庄规划实施监督的全周期管理，探索村庄规划动态优化机制，推动规划成果多部门共享共用，切实提高规划编制实效。健全</w:t>
      </w:r>
      <w:r>
        <w:rPr>
          <w:rFonts w:hint="default" w:ascii="Times New Roman" w:hAnsi="Times New Roman" w:eastAsia="仿宋_GB2312" w:cs="Times New Roman"/>
          <w:b w:val="0"/>
          <w:bCs w:val="0"/>
          <w:sz w:val="32"/>
          <w:szCs w:val="32"/>
          <w:lang w:val="en-US" w:eastAsia="zh-CN"/>
        </w:rPr>
        <w:t>完善驻镇规划师工作站相关制度</w:t>
      </w:r>
      <w:r>
        <w:rPr>
          <w:rFonts w:hint="eastAsia"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color w:val="auto"/>
          <w:kern w:val="2"/>
          <w:sz w:val="32"/>
          <w:szCs w:val="32"/>
          <w:u w:val="none" w:color="auto"/>
          <w:lang w:val="en-US" w:eastAsia="zh-CN" w:bidi="ar-SA"/>
        </w:rPr>
        <w:t>三、严守资源安全，推动发展可持续</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（一）坚守耕地保护红线。</w:t>
      </w:r>
      <w:r>
        <w:rPr>
          <w:rFonts w:hint="eastAsia" w:ascii="Times New Roman" w:hAnsi="Times New Roman" w:eastAsia="仿宋_GB2312" w:cs="Times New Roman"/>
          <w:b w:val="0"/>
          <w:bCs w:val="0"/>
          <w:sz w:val="32"/>
          <w:szCs w:val="32"/>
          <w:lang w:val="en-US" w:eastAsia="zh-CN"/>
        </w:rPr>
        <w:t>构建</w:t>
      </w:r>
      <w:r>
        <w:rPr>
          <w:rFonts w:hint="default" w:ascii="Times New Roman" w:hAnsi="Times New Roman" w:eastAsia="仿宋_GB2312" w:cs="Times New Roman"/>
          <w:b w:val="0"/>
          <w:bCs w:val="0"/>
          <w:sz w:val="32"/>
          <w:szCs w:val="32"/>
          <w:lang w:val="en-US" w:eastAsia="zh-CN"/>
        </w:rPr>
        <w:t>“横到边、纵到底、全覆盖、无死角”的耕地保护全链条监管机制。全面贯彻落实国家和省级占补平衡改革政策，做到各类占用耕地补足补优。推进补充和耕地恢复，优化耕地和永久基本农田布局。持</w:t>
      </w:r>
      <w:r>
        <w:rPr>
          <w:rFonts w:hint="default" w:ascii="Times New Roman" w:hAnsi="Times New Roman" w:eastAsia="仿宋_GB2312" w:cs="Times New Roman"/>
          <w:b w:val="0"/>
          <w:bCs w:val="0"/>
          <w:kern w:val="2"/>
          <w:sz w:val="32"/>
          <w:szCs w:val="32"/>
          <w:lang w:val="en-US" w:eastAsia="zh-CN" w:bidi="ar-SA"/>
        </w:rPr>
        <w:t>续推动耕地保护专项清理整治问题整改</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坚决遏制耕地“非农化”、防止“非粮化”。</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w:t>
      </w:r>
      <w:r>
        <w:rPr>
          <w:rFonts w:hint="default" w:ascii="楷体_GB2312" w:hAnsi="楷体_GB2312" w:eastAsia="楷体_GB2312" w:cs="楷体_GB2312"/>
          <w:b w:val="0"/>
          <w:bCs w:val="0"/>
          <w:color w:val="auto"/>
          <w:kern w:val="2"/>
          <w:sz w:val="32"/>
          <w:szCs w:val="32"/>
          <w:u w:val="none" w:color="auto"/>
          <w:lang w:val="en-US" w:eastAsia="zh-CN" w:bidi="ar-SA"/>
        </w:rPr>
        <w:t>筑牢</w:t>
      </w:r>
      <w:r>
        <w:rPr>
          <w:rFonts w:hint="eastAsia" w:ascii="楷体_GB2312" w:hAnsi="楷体_GB2312" w:eastAsia="楷体_GB2312" w:cs="楷体_GB2312"/>
          <w:b w:val="0"/>
          <w:bCs w:val="0"/>
          <w:color w:val="auto"/>
          <w:kern w:val="2"/>
          <w:sz w:val="32"/>
          <w:szCs w:val="32"/>
          <w:u w:val="none" w:color="auto"/>
          <w:lang w:val="en-US" w:eastAsia="zh-CN" w:bidi="ar-SA"/>
        </w:rPr>
        <w:t>资源安全防线。</w:t>
      </w:r>
      <w:r>
        <w:rPr>
          <w:rFonts w:hint="eastAsia" w:ascii="Times New Roman" w:hAnsi="Times New Roman" w:eastAsia="仿宋_GB2312" w:cs="Times New Roman"/>
          <w:b w:val="0"/>
          <w:bCs w:val="0"/>
          <w:kern w:val="2"/>
          <w:sz w:val="32"/>
          <w:szCs w:val="32"/>
          <w:lang w:val="en-US" w:eastAsia="zh-CN" w:bidi="ar-SA"/>
        </w:rPr>
        <w:t>加强矿山全生命周期管理，严格采矿权审批管理和准入条件。有序开展</w:t>
      </w:r>
      <w:r>
        <w:rPr>
          <w:rFonts w:hint="default" w:ascii="Times New Roman" w:hAnsi="Times New Roman" w:eastAsia="仿宋_GB2312" w:cs="Times New Roman"/>
          <w:b w:val="0"/>
          <w:bCs w:val="0"/>
          <w:kern w:val="2"/>
          <w:sz w:val="32"/>
          <w:szCs w:val="32"/>
          <w:lang w:val="en-US" w:eastAsia="zh-CN" w:bidi="ar-SA"/>
        </w:rPr>
        <w:t>全市采矿权超层越界开采动态监测</w:t>
      </w:r>
      <w:r>
        <w:rPr>
          <w:rFonts w:hint="eastAsia" w:ascii="Times New Roman" w:hAnsi="Times New Roman" w:eastAsia="仿宋_GB2312" w:cs="Times New Roman"/>
          <w:b w:val="0"/>
          <w:bCs w:val="0"/>
          <w:kern w:val="2"/>
          <w:sz w:val="32"/>
          <w:szCs w:val="32"/>
          <w:lang w:val="en-US" w:eastAsia="zh-CN" w:bidi="ar-SA"/>
        </w:rPr>
        <w:t>工作</w:t>
      </w:r>
      <w:r>
        <w:rPr>
          <w:rFonts w:hint="eastAsia" w:eastAsia="仿宋_GB2312" w:cs="Times New Roman"/>
          <w:b w:val="0"/>
          <w:bCs w:val="0"/>
          <w:kern w:val="2"/>
          <w:sz w:val="32"/>
          <w:szCs w:val="32"/>
          <w:lang w:val="en-US" w:eastAsia="zh-CN" w:bidi="ar-SA"/>
        </w:rPr>
        <w:t>及</w:t>
      </w:r>
      <w:r>
        <w:rPr>
          <w:rFonts w:hint="eastAsia" w:ascii="Times New Roman" w:hAnsi="Times New Roman" w:eastAsia="仿宋_GB2312" w:cs="Times New Roman"/>
          <w:b w:val="0"/>
          <w:bCs w:val="0"/>
          <w:kern w:val="2"/>
          <w:sz w:val="32"/>
          <w:szCs w:val="32"/>
          <w:lang w:val="en-US" w:eastAsia="zh-CN" w:bidi="ar-SA"/>
        </w:rPr>
        <w:t>项目压覆重要矿产资源审查意见出具工作。加快推进绿色矿山创建</w:t>
      </w:r>
      <w:r>
        <w:rPr>
          <w:rFonts w:hint="eastAsia" w:eastAsia="仿宋_GB2312" w:cs="Times New Roman"/>
          <w:b w:val="0"/>
          <w:bCs w:val="0"/>
          <w:kern w:val="2"/>
          <w:sz w:val="32"/>
          <w:szCs w:val="32"/>
          <w:lang w:val="en-US" w:eastAsia="zh-CN" w:bidi="ar-SA"/>
        </w:rPr>
        <w:t>和</w:t>
      </w:r>
      <w:r>
        <w:rPr>
          <w:rFonts w:hint="eastAsia" w:ascii="Times New Roman" w:hAnsi="Times New Roman" w:eastAsia="仿宋_GB2312" w:cs="Times New Roman"/>
          <w:b w:val="0"/>
          <w:bCs w:val="0"/>
          <w:kern w:val="2"/>
          <w:sz w:val="32"/>
          <w:szCs w:val="32"/>
          <w:lang w:val="en-US" w:eastAsia="zh-CN" w:bidi="ar-SA"/>
        </w:rPr>
        <w:t>矿业权人勘查开采信息公示实地核查工作。</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default" w:ascii="Calibri" w:hAnsi="Calibri" w:eastAsia="宋体" w:cs="Times New Roman"/>
          <w:kern w:val="2"/>
          <w:sz w:val="21"/>
          <w:szCs w:val="24"/>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（三）</w:t>
      </w:r>
      <w:r>
        <w:rPr>
          <w:rFonts w:hint="default" w:ascii="楷体_GB2312" w:hAnsi="楷体_GB2312" w:eastAsia="楷体_GB2312" w:cs="楷体_GB2312"/>
          <w:b w:val="0"/>
          <w:bCs w:val="0"/>
          <w:color w:val="auto"/>
          <w:kern w:val="2"/>
          <w:sz w:val="32"/>
          <w:szCs w:val="32"/>
          <w:u w:val="none" w:color="auto"/>
          <w:lang w:val="en-US" w:eastAsia="zh-CN" w:bidi="ar-SA"/>
        </w:rPr>
        <w:t>严守安全</w:t>
      </w:r>
      <w:r>
        <w:rPr>
          <w:rFonts w:hint="eastAsia" w:ascii="楷体_GB2312" w:hAnsi="楷体_GB2312" w:eastAsia="楷体_GB2312" w:cs="楷体_GB2312"/>
          <w:b w:val="0"/>
          <w:bCs w:val="0"/>
          <w:color w:val="auto"/>
          <w:kern w:val="2"/>
          <w:sz w:val="32"/>
          <w:szCs w:val="32"/>
          <w:u w:val="none" w:color="auto"/>
          <w:lang w:val="en-US" w:eastAsia="zh-CN" w:bidi="ar-SA"/>
        </w:rPr>
        <w:t>生产底线。</w:t>
      </w:r>
      <w:r>
        <w:rPr>
          <w:rFonts w:hint="default" w:ascii="Times New Roman" w:hAnsi="Times New Roman" w:eastAsia="仿宋_GB2312" w:cs="Times New Roman"/>
          <w:b w:val="0"/>
          <w:bCs w:val="0"/>
          <w:kern w:val="2"/>
          <w:sz w:val="32"/>
          <w:szCs w:val="32"/>
          <w:lang w:val="en-US" w:eastAsia="zh-CN" w:bidi="ar-SA"/>
        </w:rPr>
        <w:t>聚焦用地用矿审批、地勘和测绘行业安全监管等关键环节，推进自然资源领域安全生产治本攻坚三年行动。严格落实地质灾害“三查”制度，</w:t>
      </w:r>
      <w:r>
        <w:rPr>
          <w:rFonts w:hint="eastAsia" w:ascii="Times New Roman" w:hAnsi="Times New Roman" w:eastAsia="仿宋_GB2312" w:cs="Times New Roman"/>
          <w:b w:val="0"/>
          <w:bCs w:val="0"/>
          <w:kern w:val="2"/>
          <w:sz w:val="32"/>
          <w:szCs w:val="32"/>
          <w:lang w:val="en-US" w:eastAsia="zh-CN" w:bidi="ar-SA"/>
        </w:rPr>
        <w:t>细致</w:t>
      </w:r>
      <w:r>
        <w:rPr>
          <w:rFonts w:hint="default" w:ascii="Times New Roman" w:hAnsi="Times New Roman" w:eastAsia="仿宋_GB2312" w:cs="Times New Roman"/>
          <w:b w:val="0"/>
          <w:bCs w:val="0"/>
          <w:kern w:val="2"/>
          <w:sz w:val="32"/>
          <w:szCs w:val="32"/>
          <w:lang w:val="en-US" w:eastAsia="zh-CN" w:bidi="ar-SA"/>
        </w:rPr>
        <w:t>开展地勘和测绘行业安全生产检查</w:t>
      </w:r>
      <w:r>
        <w:rPr>
          <w:rFonts w:hint="eastAsia" w:ascii="Times New Roman" w:hAnsi="Times New Roman" w:eastAsia="仿宋_GB2312" w:cs="Times New Roman"/>
          <w:b w:val="0"/>
          <w:bCs w:val="0"/>
          <w:kern w:val="2"/>
          <w:sz w:val="32"/>
          <w:szCs w:val="32"/>
          <w:lang w:val="en-US" w:eastAsia="zh-CN" w:bidi="ar-SA"/>
        </w:rPr>
        <w:t>，持续提升地质灾害防治能力</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u w:val="none" w:color="auto"/>
          <w:lang w:val="en-US" w:eastAsia="zh-CN" w:bidi="ar-SA"/>
        </w:rPr>
        <w:t>四、</w:t>
      </w:r>
      <w:r>
        <w:rPr>
          <w:rFonts w:hint="eastAsia" w:ascii="黑体" w:hAnsi="黑体" w:eastAsia="黑体" w:cs="黑体"/>
          <w:b w:val="0"/>
          <w:bCs w:val="0"/>
          <w:color w:val="auto"/>
          <w:kern w:val="2"/>
          <w:sz w:val="32"/>
          <w:szCs w:val="32"/>
          <w:u w:val="none" w:color="auto"/>
          <w:lang w:val="zh-TW" w:eastAsia="zh-CN" w:bidi="ar-SA"/>
        </w:rPr>
        <w:t>坚持绿色发展，抓牢转型关键点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（一）实施矿山生态修复。</w:t>
      </w:r>
      <w:r>
        <w:rPr>
          <w:rFonts w:hint="eastAsia" w:ascii="Times New Roman" w:hAnsi="Times New Roman" w:eastAsia="仿宋_GB2312" w:cs="Times New Roman"/>
          <w:b w:val="0"/>
          <w:bCs w:val="0"/>
          <w:sz w:val="32"/>
          <w:szCs w:val="32"/>
          <w:lang w:val="en-US" w:eastAsia="zh-CN"/>
        </w:rPr>
        <w:t>印发年度废弃矿山修复计划，加快推进历史遗留废弃矿山图斑销号。压实矿山企业“边开采、边治理”主体责任，有力推进</w:t>
      </w:r>
      <w:r>
        <w:rPr>
          <w:rFonts w:hint="default" w:ascii="Times New Roman" w:hAnsi="Times New Roman" w:eastAsia="仿宋_GB2312" w:cs="Times New Roman"/>
          <w:b w:val="0"/>
          <w:bCs w:val="0"/>
          <w:sz w:val="32"/>
          <w:szCs w:val="32"/>
          <w:lang w:val="en-US" w:eastAsia="zh-CN"/>
        </w:rPr>
        <w:t>在建与生产矿山生态修复</w:t>
      </w:r>
      <w:r>
        <w:rPr>
          <w:rFonts w:hint="eastAsia" w:ascii="Times New Roman" w:hAnsi="Times New Roman" w:eastAsia="仿宋_GB2312" w:cs="Times New Roman"/>
          <w:b w:val="0"/>
          <w:bCs w:val="0"/>
          <w:sz w:val="32"/>
          <w:szCs w:val="32"/>
          <w:lang w:val="en-US" w:eastAsia="zh-CN"/>
        </w:rPr>
        <w:t>治理</w:t>
      </w:r>
      <w:r>
        <w:rPr>
          <w:rFonts w:hint="default" w:ascii="Times New Roman" w:hAnsi="Times New Roman" w:eastAsia="仿宋_GB2312" w:cs="Times New Roman"/>
          <w:b w:val="0"/>
          <w:bCs w:val="0"/>
          <w:sz w:val="32"/>
          <w:szCs w:val="32"/>
          <w:lang w:val="en-US" w:eastAsia="zh-CN"/>
        </w:rPr>
        <w:t>任务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积极探索</w:t>
      </w:r>
      <w:r>
        <w:rPr>
          <w:rFonts w:hint="eastAsia" w:ascii="Times New Roman" w:hAnsi="Times New Roman" w:eastAsia="仿宋_GB2312" w:cs="Times New Roman"/>
          <w:b w:val="0"/>
          <w:bCs w:val="0"/>
          <w:sz w:val="32"/>
          <w:szCs w:val="32"/>
          <w:lang w:val="en-US" w:eastAsia="zh-CN"/>
        </w:rPr>
        <w:t>利用</w:t>
      </w:r>
      <w:r>
        <w:rPr>
          <w:rFonts w:hint="default" w:ascii="Times New Roman" w:hAnsi="Times New Roman" w:eastAsia="仿宋_GB2312" w:cs="Times New Roman"/>
          <w:b w:val="0"/>
          <w:bCs w:val="0"/>
          <w:sz w:val="32"/>
          <w:szCs w:val="32"/>
          <w:lang w:val="en-US" w:eastAsia="zh-CN"/>
        </w:rPr>
        <w:t>市场化</w:t>
      </w:r>
      <w:r>
        <w:rPr>
          <w:rFonts w:hint="eastAsia" w:ascii="Times New Roman" w:hAnsi="Times New Roman" w:eastAsia="仿宋_GB2312" w:cs="Times New Roman"/>
          <w:b w:val="0"/>
          <w:bCs w:val="0"/>
          <w:sz w:val="32"/>
          <w:szCs w:val="32"/>
          <w:lang w:val="en-US" w:eastAsia="zh-CN"/>
        </w:rPr>
        <w:t>方式推进矿山</w:t>
      </w:r>
      <w:r>
        <w:rPr>
          <w:rFonts w:hint="default" w:ascii="Times New Roman" w:hAnsi="Times New Roman" w:eastAsia="仿宋_GB2312" w:cs="Times New Roman"/>
          <w:b w:val="0"/>
          <w:bCs w:val="0"/>
          <w:sz w:val="32"/>
          <w:szCs w:val="32"/>
          <w:lang w:val="en-US" w:eastAsia="zh-CN"/>
        </w:rPr>
        <w:t>生态修复</w:t>
      </w:r>
      <w:r>
        <w:rPr>
          <w:rFonts w:hint="eastAsia" w:ascii="Times New Roman" w:hAnsi="Times New Roman" w:eastAsia="仿宋_GB2312" w:cs="Times New Roman"/>
          <w:b w:val="0"/>
          <w:bCs w:val="0"/>
          <w:sz w:val="32"/>
          <w:szCs w:val="32"/>
          <w:lang w:val="en-US" w:eastAsia="zh-CN"/>
        </w:rPr>
        <w:t>，促进生态与产业融合发展。</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（二）推进采煤沉陷区治理。</w:t>
      </w:r>
      <w:r>
        <w:rPr>
          <w:rFonts w:hint="default" w:ascii="Times New Roman" w:hAnsi="Times New Roman" w:eastAsia="仿宋_GB2312" w:cs="Times New Roman"/>
          <w:b w:val="0"/>
          <w:bCs w:val="0"/>
          <w:kern w:val="2"/>
          <w:sz w:val="32"/>
          <w:szCs w:val="32"/>
          <w:lang w:val="en-US" w:eastAsia="zh-CN" w:bidi="ar-SA"/>
        </w:rPr>
        <w:t>大力实施卧龙湖煤矿、青东煤矿等采煤沉陷区治理项目，按期完成年度治理任务。推进全域土地综合整治试点项目建设和验收准备工作。积极申报人民路（岱河桥—龙河）采煤塌陷区综合治理项目，争取省级资金支持。加强“研用结合、成果产出”，提升博士后工作站课题研究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b w:val="0"/>
          <w:bCs w:val="0"/>
          <w:color w:val="auto"/>
          <w:kern w:val="2"/>
          <w:sz w:val="32"/>
          <w:szCs w:val="32"/>
          <w:u w:val="none" w:color="auto"/>
          <w:lang w:val="zh-TW" w:eastAsia="zh-CN" w:bidi="ar-SA"/>
        </w:rPr>
      </w:pPr>
      <w:r>
        <w:rPr>
          <w:rFonts w:hint="eastAsia" w:ascii="黑体" w:hAnsi="黑体" w:eastAsia="黑体" w:cs="黑体"/>
          <w:b w:val="0"/>
          <w:bCs w:val="0"/>
          <w:color w:val="auto"/>
          <w:kern w:val="2"/>
          <w:sz w:val="32"/>
          <w:szCs w:val="32"/>
          <w:u w:val="none" w:color="auto"/>
          <w:lang w:val="en-US" w:eastAsia="zh-CN" w:bidi="ar-SA"/>
        </w:rPr>
        <w:t>五、优化</w:t>
      </w:r>
      <w:r>
        <w:rPr>
          <w:rFonts w:hint="default" w:ascii="黑体" w:hAnsi="黑体" w:eastAsia="黑体" w:cs="黑体"/>
          <w:b w:val="0"/>
          <w:bCs w:val="0"/>
          <w:color w:val="auto"/>
          <w:kern w:val="2"/>
          <w:sz w:val="32"/>
          <w:szCs w:val="32"/>
          <w:u w:val="none" w:color="auto"/>
          <w:lang w:val="en-US" w:eastAsia="zh-CN" w:bidi="ar-SA"/>
        </w:rPr>
        <w:t>营商环境</w:t>
      </w:r>
      <w:r>
        <w:rPr>
          <w:rFonts w:hint="eastAsia" w:ascii="黑体" w:hAnsi="黑体" w:eastAsia="黑体" w:cs="黑体"/>
          <w:b w:val="0"/>
          <w:bCs w:val="0"/>
          <w:color w:val="auto"/>
          <w:kern w:val="2"/>
          <w:sz w:val="32"/>
          <w:szCs w:val="32"/>
          <w:u w:val="none" w:color="auto"/>
          <w:lang w:val="en-US" w:eastAsia="zh-CN" w:bidi="ar-SA"/>
        </w:rPr>
        <w:t>，打造服务新速度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（一）简化行政审批流程。</w:t>
      </w:r>
      <w:r>
        <w:rPr>
          <w:rFonts w:hint="default" w:ascii="Times New Roman" w:hAnsi="Times New Roman" w:eastAsia="仿宋_GB2312" w:cs="Times New Roman"/>
          <w:sz w:val="32"/>
          <w:szCs w:val="32"/>
          <w:lang w:val="en-US" w:eastAsia="zh-CN"/>
        </w:rPr>
        <w:t>聚焦企业群众“急难愁盼”，</w:t>
      </w:r>
      <w:r>
        <w:rPr>
          <w:rFonts w:hint="eastAsia" w:ascii="Times New Roman" w:hAnsi="Times New Roman" w:eastAsia="仿宋_GB2312" w:cs="Times New Roman"/>
          <w:color w:val="000000"/>
          <w:sz w:val="32"/>
          <w:szCs w:val="32"/>
          <w:lang w:val="en-US" w:eastAsia="zh-CN"/>
        </w:rPr>
        <w:t>围绕</w:t>
      </w:r>
      <w:r>
        <w:rPr>
          <w:rFonts w:hint="eastAsia" w:ascii="Times New Roman" w:hAnsi="Times New Roman" w:eastAsia="仿宋_GB2312" w:cs="Times New Roman"/>
          <w:color w:val="000000"/>
          <w:sz w:val="32"/>
          <w:szCs w:val="32"/>
          <w:lang w:eastAsia="zh-CN"/>
        </w:rPr>
        <w:t>审批服务事项“减材料、减环节、减时限”，</w:t>
      </w:r>
      <w:r>
        <w:rPr>
          <w:rFonts w:hint="eastAsia" w:ascii="Times New Roman" w:hAnsi="Times New Roman" w:eastAsia="仿宋_GB2312" w:cs="Times New Roman"/>
          <w:color w:val="000000"/>
          <w:sz w:val="32"/>
          <w:szCs w:val="32"/>
          <w:lang w:val="en-US" w:eastAsia="zh-CN"/>
        </w:rPr>
        <w:t>不断深化</w:t>
      </w:r>
      <w:r>
        <w:rPr>
          <w:rFonts w:hint="default" w:ascii="Times New Roman" w:hAnsi="Times New Roman" w:eastAsia="仿宋_GB2312" w:cs="Times New Roman"/>
          <w:color w:val="000000"/>
          <w:sz w:val="32"/>
          <w:szCs w:val="32"/>
        </w:rPr>
        <w:t>审批制度改革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kern w:val="2"/>
          <w:sz w:val="32"/>
          <w:szCs w:val="32"/>
          <w:lang w:val="en-US" w:eastAsia="zh-CN" w:bidi="ar-SA"/>
        </w:rPr>
        <w:t>优化更新建设工程规划许可证豁免清单</w:t>
      </w:r>
      <w:r>
        <w:rPr>
          <w:rFonts w:hint="eastAsia"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全力推动</w:t>
      </w:r>
      <w:r>
        <w:rPr>
          <w:rFonts w:hint="default" w:ascii="Times New Roman" w:hAnsi="Times New Roman" w:eastAsia="仿宋_GB2312" w:cs="Times New Roman"/>
          <w:b w:val="0"/>
          <w:bCs w:val="0"/>
          <w:kern w:val="2"/>
          <w:sz w:val="32"/>
          <w:szCs w:val="32"/>
          <w:lang w:val="en-US" w:eastAsia="zh-CN" w:bidi="ar-SA"/>
        </w:rPr>
        <w:t>国土空间规划“一张图”</w:t>
      </w:r>
      <w:r>
        <w:rPr>
          <w:rFonts w:hint="eastAsia" w:ascii="Times New Roman" w:hAnsi="Times New Roman" w:eastAsia="仿宋_GB2312" w:cs="Times New Roman"/>
          <w:b w:val="0"/>
          <w:bCs w:val="0"/>
          <w:kern w:val="2"/>
          <w:sz w:val="32"/>
          <w:szCs w:val="32"/>
          <w:lang w:val="en-US" w:eastAsia="zh-CN" w:bidi="ar-SA"/>
        </w:rPr>
        <w:t>和</w:t>
      </w:r>
      <w:r>
        <w:rPr>
          <w:rFonts w:hint="default" w:ascii="Times New Roman" w:hAnsi="Times New Roman" w:eastAsia="仿宋_GB2312" w:cs="Times New Roman"/>
          <w:b w:val="0"/>
          <w:bCs w:val="0"/>
          <w:kern w:val="2"/>
          <w:sz w:val="32"/>
          <w:szCs w:val="32"/>
          <w:lang w:val="en-US" w:eastAsia="zh-CN" w:bidi="ar-SA"/>
        </w:rPr>
        <w:t>工程建设项目审批系统</w:t>
      </w:r>
      <w:r>
        <w:rPr>
          <w:rFonts w:hint="eastAsia" w:ascii="Times New Roman" w:hAnsi="Times New Roman" w:eastAsia="仿宋_GB2312" w:cs="Times New Roman"/>
          <w:b w:val="0"/>
          <w:bCs w:val="0"/>
          <w:kern w:val="2"/>
          <w:sz w:val="32"/>
          <w:szCs w:val="32"/>
          <w:lang w:val="en-US" w:eastAsia="zh-CN" w:bidi="ar-SA"/>
        </w:rPr>
        <w:t>深度融合，实现数据交互、流程协同。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（二）优化不动产登记服务。</w:t>
      </w:r>
      <w:r>
        <w:rPr>
          <w:rFonts w:hint="eastAsia" w:ascii="仿宋_GB2312" w:hAnsi="仿宋_GB2312" w:eastAsia="仿宋_GB2312" w:cs="仿宋_GB2312"/>
          <w:b w:val="0"/>
          <w:bCs w:val="0"/>
          <w:sz w:val="32"/>
          <w:szCs w:val="32"/>
          <w:lang w:val="en-US" w:eastAsia="zh-CN"/>
        </w:rPr>
        <w:t>深化信息共享应用，推动全域全业务类型“全程网办”。依托“跨省通办”机制，拓展抵押登记、变更登记等服务，不断提升不动产登记便利度。</w:t>
      </w:r>
      <w:r>
        <w:rPr>
          <w:rFonts w:hint="eastAsia" w:ascii="仿宋_GB2312" w:hAnsi="仿宋_GB2312" w:eastAsia="仿宋_GB2312" w:cs="仿宋_GB2312"/>
          <w:b w:val="0"/>
          <w:bCs w:val="0"/>
          <w:kern w:val="0"/>
          <w:sz w:val="32"/>
          <w:szCs w:val="32"/>
          <w:lang w:val="en-US" w:eastAsia="zh-CN" w:bidi="ar"/>
        </w:rPr>
        <w:t>规范有序推进“房地一体”农村宅基地、集体建设用地使用权等农村不动产确权登记工作，妥善解决历史遗留问题。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NewRomanPSMT" w:hAnsi="TimesNewRomanPSMT" w:eastAsia="CESI楷体-GB2312" w:cs="TimesNewRomanPSMT"/>
          <w:b w:val="0"/>
          <w:bCs w:val="0"/>
          <w:color w:val="auto"/>
          <w:kern w:val="2"/>
          <w:sz w:val="32"/>
          <w:szCs w:val="32"/>
          <w:u w:val="none" w:color="auto"/>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（三）强化数据支撑作用。</w:t>
      </w:r>
      <w:r>
        <w:rPr>
          <w:rFonts w:hint="eastAsia" w:ascii="仿宋_GB2312" w:hAnsi="宋体" w:eastAsia="仿宋_GB2312" w:cs="仿宋_GB2312"/>
          <w:color w:val="000000"/>
          <w:kern w:val="0"/>
          <w:sz w:val="31"/>
          <w:szCs w:val="31"/>
          <w:lang w:val="en-US" w:eastAsia="zh-CN" w:bidi="ar"/>
        </w:rPr>
        <w:t>加强调查、耕保、执法等工作协调联动，扎实开展日常和年度国土变更调查。</w:t>
      </w:r>
      <w:r>
        <w:rPr>
          <w:rFonts w:hint="eastAsia" w:ascii="仿宋_GB2312" w:hAnsi="仿宋_GB2312" w:eastAsia="仿宋_GB2312" w:cs="仿宋_GB2312"/>
          <w:b w:val="0"/>
          <w:bCs w:val="0"/>
          <w:kern w:val="0"/>
          <w:sz w:val="32"/>
          <w:szCs w:val="32"/>
          <w:lang w:val="en-US" w:eastAsia="zh-CN" w:bidi="ar"/>
        </w:rPr>
        <w:t>高质量开展城市国土空间监测和水资源基础调查工作。稳步推进实景三维建设，深化工程建设项目“多测合一”改革。加强测绘成果质量监管，规范测绘地理信息市场秩序。</w:t>
      </w:r>
    </w:p>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6"/>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自然资源和规划局本级</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自然资源和规划局本级</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2461.38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w:t>
      </w:r>
      <w:r>
        <w:rPr>
          <w:rFonts w:hint="eastAsia" w:ascii="仿宋_GB2312" w:hAnsi="仿宋" w:eastAsia="仿宋_GB2312"/>
          <w:sz w:val="32"/>
          <w:szCs w:val="32"/>
          <w:lang w:eastAsia="zh-CN"/>
        </w:rPr>
        <w:t>自然资源海洋气象等支出、</w:t>
      </w:r>
      <w:r>
        <w:rPr>
          <w:rFonts w:hint="eastAsia" w:ascii="TimesNewRoman" w:hAnsi="TimesNewRoman" w:eastAsia="仿宋_GB2312" w:cs="TimesNewRoman"/>
          <w:sz w:val="32"/>
          <w:szCs w:val="32"/>
        </w:rPr>
        <w:t>住房保障支出。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1585.86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color w:val="auto"/>
          <w:kern w:val="0"/>
          <w:sz w:val="32"/>
          <w:szCs w:val="32"/>
        </w:rPr>
        <w:t>，占</w:t>
      </w:r>
      <w:r>
        <w:rPr>
          <w:rFonts w:hint="eastAsia" w:ascii="TimesNewRoman" w:hAnsi="TimesNewRoman" w:eastAsia="仿宋_GB2312" w:cs="TimesNewRoman"/>
          <w:color w:val="auto"/>
          <w:kern w:val="0"/>
          <w:sz w:val="32"/>
          <w:szCs w:val="32"/>
          <w:lang w:val="en-US" w:eastAsia="zh-CN"/>
        </w:rPr>
        <w:t>64.43</w:t>
      </w:r>
      <w:r>
        <w:rPr>
          <w:rFonts w:hint="eastAsia" w:ascii="TimesNewRoman" w:hAnsi="TimesNewRoman" w:eastAsia="仿宋_GB2312" w:cs="TimesNewRoman"/>
          <w:color w:val="auto"/>
          <w:kern w:val="0"/>
          <w:sz w:val="32"/>
          <w:szCs w:val="32"/>
        </w:rPr>
        <w:t>%，比2024年预算减少</w:t>
      </w:r>
      <w:r>
        <w:rPr>
          <w:rFonts w:hint="eastAsia" w:ascii="TimesNewRoman" w:hAnsi="TimesNewRoman" w:eastAsia="仿宋_GB2312" w:cs="TimesNewRoman"/>
          <w:color w:val="auto"/>
          <w:kern w:val="0"/>
          <w:sz w:val="32"/>
          <w:szCs w:val="32"/>
          <w:lang w:val="en-US" w:eastAsia="zh-CN"/>
        </w:rPr>
        <w:t>108.79</w:t>
      </w:r>
      <w:r>
        <w:rPr>
          <w:rFonts w:hint="eastAsia" w:ascii="TimesNewRoman" w:hAnsi="TimesNewRoman" w:eastAsia="仿宋_GB2312" w:cs="TimesNewRoman"/>
          <w:color w:val="auto"/>
          <w:kern w:val="0"/>
          <w:sz w:val="32"/>
          <w:szCs w:val="32"/>
        </w:rPr>
        <w:t>万元，下降</w:t>
      </w:r>
      <w:r>
        <w:rPr>
          <w:rFonts w:hint="eastAsia" w:ascii="TimesNewRoman" w:hAnsi="TimesNewRoman" w:eastAsia="仿宋_GB2312" w:cs="TimesNewRoman"/>
          <w:color w:val="auto"/>
          <w:kern w:val="0"/>
          <w:sz w:val="32"/>
          <w:szCs w:val="32"/>
          <w:lang w:val="en-US" w:eastAsia="zh-CN"/>
        </w:rPr>
        <w:t>6.42</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highlight w:val="none"/>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一、项目支出减少；二、人员退休及公积金基数调减。</w:t>
      </w:r>
      <w:r>
        <w:rPr>
          <w:rFonts w:hint="eastAsia" w:ascii="TimesNewRoman" w:hAnsi="TimesNewRoman" w:eastAsia="仿宋_GB2312" w:cs="TimesNewRoman"/>
          <w:color w:val="auto"/>
          <w:kern w:val="0"/>
          <w:sz w:val="32"/>
          <w:szCs w:val="32"/>
        </w:rPr>
        <w:t>政府性基金预算拨款收入</w:t>
      </w:r>
      <w:r>
        <w:rPr>
          <w:rFonts w:hint="eastAsia" w:ascii="TimesNewRoman" w:hAnsi="TimesNewRoman" w:eastAsia="仿宋_GB2312" w:cs="TimesNewRoman"/>
          <w:color w:val="auto"/>
          <w:kern w:val="0"/>
          <w:sz w:val="32"/>
          <w:szCs w:val="32"/>
          <w:lang w:val="en-US" w:eastAsia="zh-CN"/>
        </w:rPr>
        <w:t>875.52</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35.57</w:t>
      </w:r>
      <w:r>
        <w:rPr>
          <w:rFonts w:hint="eastAsia" w:ascii="TimesNewRoman" w:hAnsi="TimesNewRoman" w:eastAsia="仿宋_GB2312" w:cs="TimesNewRoman"/>
          <w:color w:val="auto"/>
          <w:kern w:val="0"/>
          <w:sz w:val="32"/>
          <w:szCs w:val="32"/>
        </w:rPr>
        <w:t>%，比2024年预算减少</w:t>
      </w:r>
      <w:r>
        <w:rPr>
          <w:rFonts w:hint="eastAsia" w:ascii="TimesNewRoman" w:hAnsi="TimesNewRoman" w:eastAsia="仿宋_GB2312" w:cs="TimesNewRoman"/>
          <w:color w:val="auto"/>
          <w:kern w:val="0"/>
          <w:sz w:val="32"/>
          <w:szCs w:val="32"/>
          <w:lang w:val="en-US" w:eastAsia="zh-CN"/>
        </w:rPr>
        <w:t>502.12</w:t>
      </w:r>
      <w:r>
        <w:rPr>
          <w:rFonts w:hint="eastAsia" w:ascii="TimesNewRoman" w:hAnsi="TimesNewRoman" w:eastAsia="仿宋_GB2312" w:cs="TimesNewRoman"/>
          <w:color w:val="auto"/>
          <w:kern w:val="0"/>
          <w:sz w:val="32"/>
          <w:szCs w:val="32"/>
        </w:rPr>
        <w:t>万元，下降</w:t>
      </w:r>
      <w:r>
        <w:rPr>
          <w:rFonts w:hint="eastAsia" w:ascii="TimesNewRoman" w:hAnsi="TimesNewRoman" w:eastAsia="仿宋_GB2312" w:cs="TimesNewRoman"/>
          <w:color w:val="auto"/>
          <w:kern w:val="0"/>
          <w:sz w:val="32"/>
          <w:szCs w:val="32"/>
          <w:lang w:val="en-US" w:eastAsia="zh-CN"/>
        </w:rPr>
        <w:t>36.45</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highlight w:val="none"/>
        </w:rPr>
        <w:t>原因主要是</w:t>
      </w:r>
      <w:r>
        <w:rPr>
          <w:rFonts w:hint="eastAsia" w:ascii="TimesNewRoman" w:hAnsi="TimesNewRoman" w:eastAsia="仿宋_GB2312" w:cs="TimesNewRoman"/>
          <w:color w:val="auto"/>
          <w:kern w:val="0"/>
          <w:sz w:val="32"/>
          <w:szCs w:val="32"/>
          <w:highlight w:val="none"/>
          <w:shd w:val="clear" w:color="auto" w:fill="auto"/>
          <w:lang w:eastAsia="zh-CN"/>
        </w:rPr>
        <w:t>项目支出减少</w:t>
      </w:r>
      <w:r>
        <w:rPr>
          <w:rFonts w:hint="eastAsia" w:ascii="TimesNewRoman" w:hAnsi="TimesNewRoman" w:eastAsia="仿宋_GB2312" w:cs="TimesNewRoman"/>
          <w:color w:val="auto"/>
          <w:kern w:val="0"/>
          <w:sz w:val="32"/>
          <w:szCs w:val="32"/>
          <w:highlight w:val="none"/>
        </w:rPr>
        <w:t>；</w:t>
      </w:r>
      <w:r>
        <w:rPr>
          <w:rFonts w:hint="eastAsia" w:ascii="TimesNewRoman" w:hAnsi="TimesNewRoman" w:eastAsia="仿宋_GB2312" w:cs="TimesNewRoman"/>
          <w:color w:val="auto"/>
          <w:kern w:val="0"/>
          <w:sz w:val="32"/>
          <w:szCs w:val="32"/>
        </w:rPr>
        <w:t>财政专户管理</w:t>
      </w:r>
      <w:r>
        <w:rPr>
          <w:rFonts w:hint="eastAsia" w:ascii="TimesNewRoman" w:hAnsi="TimesNewRoman" w:eastAsia="仿宋_GB2312" w:cs="TimesNewRoman"/>
          <w:kern w:val="0"/>
          <w:sz w:val="32"/>
          <w:szCs w:val="32"/>
        </w:rPr>
        <w:t>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无财政专户资金收入</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610.91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19.88</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highlight w:val="none"/>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一、项目支出减少；二、人员退休及公积金基数调减。</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1557.86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63.29</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903.52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36.71</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局本级项目支出</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1585.86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875.52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379.22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15.41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64.58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2.62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875.52万元，占35.57%；自然资源海洋气象等支出939.28万元，占38.16%；</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202.78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8.24</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1585.86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108.79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6.42</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highlight w:val="none"/>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人员退休及公积金基数调减。</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379.22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23.91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64.58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4.07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eastAsia" w:ascii="TimesNewRoman" w:hAnsi="TimesNewRoman" w:eastAsia="仿宋_GB2312" w:cs="TimesNewRoman"/>
          <w:kern w:val="0"/>
          <w:sz w:val="32"/>
          <w:szCs w:val="32"/>
          <w:lang w:val="en-US" w:eastAsia="zh-CN"/>
        </w:rPr>
        <w:t>939.28万元，占59.23%；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202.78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12.79</w:t>
      </w:r>
      <w:r>
        <w:rPr>
          <w:rFonts w:hint="eastAsia" w:ascii="TimesNewRoman" w:hAnsi="TimesNewRoman" w:eastAsia="仿宋_GB2312" w:cs="TimesNewRoman"/>
          <w:kern w:val="0"/>
          <w:sz w:val="32"/>
          <w:szCs w:val="32"/>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color w:val="auto"/>
          <w:kern w:val="0"/>
          <w:sz w:val="32"/>
          <w:szCs w:val="32"/>
          <w:shd w:val="clear" w:color="auto" w:fill="auto"/>
        </w:rPr>
      </w:pPr>
      <w:r>
        <w:rPr>
          <w:rFonts w:hint="eastAsia" w:ascii="TimesNewRoman" w:hAnsi="TimesNewRoman" w:eastAsia="仿宋_GB2312" w:cs="TimesNewRoman"/>
          <w:kern w:val="0"/>
          <w:sz w:val="32"/>
          <w:szCs w:val="32"/>
          <w:shd w:val="clear" w:color="auto" w:fill="auto"/>
        </w:rPr>
        <w:t>1、</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（类）行政事业单位养老支出（款）行政单位离退休（项）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201.48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10.54</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5.52</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新增退休人员</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color w:val="FF0000"/>
          <w:kern w:val="0"/>
          <w:sz w:val="32"/>
          <w:szCs w:val="32"/>
          <w:shd w:val="clear" w:color="auto" w:fill="auto"/>
        </w:rPr>
      </w:pPr>
      <w:r>
        <w:rPr>
          <w:rFonts w:hint="eastAsia" w:ascii="TimesNewRoman" w:hAnsi="TimesNewRoman" w:eastAsia="仿宋_GB2312" w:cs="TimesNewRoman"/>
          <w:kern w:val="0"/>
          <w:sz w:val="32"/>
          <w:szCs w:val="32"/>
          <w:shd w:val="clear" w:color="auto" w:fill="auto"/>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116.99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9.6</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7.58</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color w:val="FF0000"/>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3</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（类）行政事业单位养老支出（款）机关事业单位职业年金缴费支出（项）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58.5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4.79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7.57</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color w:val="FF0000"/>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4</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2.25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0.19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8.44</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（类）行政事业单位医疗（款）行政单位医疗（项）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37.86</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9.9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20.73</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26.72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0.13</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0.48</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7</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（类）自然资源事务（款）行政运行（项）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544.85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56.17</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9.35</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8</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366.43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34.84</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8.68</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9</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w:t>
      </w:r>
      <w:r>
        <w:rPr>
          <w:rFonts w:hint="eastAsia" w:ascii="仿宋_GB2312" w:hAnsi="仿宋" w:eastAsia="仿宋_GB2312"/>
          <w:b w:val="0"/>
          <w:bCs w:val="0"/>
          <w:sz w:val="32"/>
          <w:szCs w:val="32"/>
          <w:shd w:val="clear" w:color="auto" w:fill="auto"/>
          <w:lang w:eastAsia="zh-CN"/>
        </w:rPr>
        <w:t>其他自然自源事务支出</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28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仿宋_GB2312" w:hAnsi="仿宋" w:eastAsia="仿宋_GB2312"/>
          <w:color w:val="auto"/>
          <w:sz w:val="32"/>
          <w:szCs w:val="32"/>
          <w:lang w:eastAsia="zh-CN"/>
        </w:rPr>
        <w:t>功能科目调整。</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10</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（类）住房改革支出（款）住房公积金（项）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121.67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18.42</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13.15</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公积金基数调减及人员退休</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11</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w:t>
      </w:r>
      <w:r>
        <w:rPr>
          <w:rFonts w:hint="eastAsia" w:ascii="仿宋_GB2312" w:hAnsi="仿宋" w:eastAsia="仿宋_GB2312"/>
          <w:b w:val="0"/>
          <w:bCs w:val="0"/>
          <w:sz w:val="32"/>
          <w:szCs w:val="32"/>
          <w:shd w:val="clear" w:color="auto" w:fill="auto"/>
          <w:lang w:eastAsia="zh-CN"/>
        </w:rPr>
        <w:t>提租</w:t>
      </w:r>
      <w:r>
        <w:rPr>
          <w:rFonts w:hint="eastAsia" w:ascii="仿宋_GB2312" w:hAnsi="仿宋" w:eastAsia="仿宋_GB2312"/>
          <w:b w:val="0"/>
          <w:bCs w:val="0"/>
          <w:sz w:val="32"/>
          <w:szCs w:val="32"/>
          <w:shd w:val="clear" w:color="auto" w:fill="auto"/>
        </w:rPr>
        <w:t>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30.42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4.6</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13.14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公积金基数调减及人员退休</w:t>
      </w:r>
      <w:r>
        <w:rPr>
          <w:rFonts w:hint="eastAsia" w:ascii="TimesNewRoman" w:hAnsi="TimesNewRoman" w:eastAsia="仿宋_GB2312" w:cs="TimesNewRoman"/>
          <w:kern w:val="0"/>
          <w:sz w:val="32"/>
          <w:szCs w:val="32"/>
          <w:shd w:val="clear" w:color="auto" w:fill="auto"/>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 w:val="0"/>
          <w:bCs w:val="0"/>
          <w:kern w:val="0"/>
          <w:sz w:val="32"/>
          <w:szCs w:val="32"/>
          <w:shd w:val="clear" w:color="auto" w:fill="auto"/>
          <w:lang w:val="en-US" w:eastAsia="zh-CN"/>
        </w:rPr>
        <w:t>12</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50.7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7.67</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13.14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公积金基数调减及人员退休</w:t>
      </w:r>
      <w:r>
        <w:rPr>
          <w:rFonts w:hint="eastAsia" w:ascii="TimesNewRoman" w:hAnsi="TimesNewRoman" w:eastAsia="仿宋_GB2312" w:cs="TimesNewRoman"/>
          <w:kern w:val="0"/>
          <w:sz w:val="32"/>
          <w:szCs w:val="32"/>
          <w:shd w:val="clear" w:color="auto" w:fill="auto"/>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1557.86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1392.63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165.22</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1392.63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w:t>
      </w:r>
      <w:r>
        <w:rPr>
          <w:rFonts w:hint="eastAsia" w:ascii="TimesNewRoman" w:hAnsi="TimesNewRoman" w:eastAsia="仿宋_GB2312" w:cs="TimesNewRoman"/>
          <w:kern w:val="0"/>
          <w:sz w:val="32"/>
          <w:szCs w:val="32"/>
          <w:lang w:eastAsia="zh-CN"/>
        </w:rPr>
        <w:t>其他商品和服务支出、</w:t>
      </w:r>
      <w:r>
        <w:rPr>
          <w:rFonts w:hint="eastAsia" w:ascii="TimesNewRoman" w:hAnsi="TimesNewRoman" w:eastAsia="仿宋_GB2312" w:cs="TimesNewRoman"/>
          <w:kern w:val="0"/>
          <w:sz w:val="32"/>
          <w:szCs w:val="32"/>
        </w:rPr>
        <w:t>离休费、退休费、生活补助、医疗费补助、</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、对其他个人和家庭的补助。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165.22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主要包括：水费、电费、公务用车运行维护费、其他交通费用、其他商品</w:t>
      </w:r>
      <w:r>
        <w:rPr>
          <w:rFonts w:hint="eastAsia" w:ascii="TimesNewRoman" w:hAnsi="TimesNewRoman" w:eastAsia="仿宋_GB2312" w:cs="TimesNewRoman"/>
          <w:kern w:val="0"/>
          <w:sz w:val="32"/>
          <w:szCs w:val="32"/>
          <w:lang w:eastAsia="zh-CN"/>
        </w:rPr>
        <w:t>和</w:t>
      </w:r>
      <w:r>
        <w:rPr>
          <w:rFonts w:hint="eastAsia" w:ascii="TimesNewRoman" w:hAnsi="TimesNewRoman" w:eastAsia="仿宋_GB2312" w:cs="TimesNewRoman"/>
          <w:kern w:val="0"/>
          <w:sz w:val="32"/>
          <w:szCs w:val="32"/>
        </w:rPr>
        <w:t>服务支出。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2025年政府性基金支出</w:t>
      </w:r>
      <w:r>
        <w:rPr>
          <w:rFonts w:hint="eastAsia" w:ascii="TimesNewRoman" w:hAnsi="TimesNewRoman" w:eastAsia="仿宋_GB2312" w:cs="TimesNewRoman"/>
          <w:kern w:val="0"/>
          <w:sz w:val="32"/>
          <w:szCs w:val="32"/>
          <w:lang w:val="en-US" w:eastAsia="zh-CN"/>
        </w:rPr>
        <w:t>875.52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502.12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36.45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主要原因是</w:t>
      </w:r>
      <w:r>
        <w:rPr>
          <w:rFonts w:hint="eastAsia" w:ascii="TimesNewRoman" w:hAnsi="TimesNewRoman" w:eastAsia="仿宋_GB2312" w:cs="TimesNewRoman"/>
          <w:kern w:val="0"/>
          <w:sz w:val="32"/>
          <w:szCs w:val="32"/>
          <w:highlight w:val="none"/>
          <w:lang w:eastAsia="zh-CN"/>
        </w:rPr>
        <w:t>项目支出安排减少</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highlight w:val="none"/>
          <w:shd w:val="clear" w:color="auto" w:fill="auto"/>
        </w:rPr>
      </w:pPr>
      <w:r>
        <w:rPr>
          <w:rFonts w:hint="eastAsia" w:ascii="TimesNewRoman" w:hAnsi="TimesNewRoman" w:eastAsia="仿宋_GB2312" w:cs="TimesNewRoman"/>
          <w:b/>
          <w:kern w:val="0"/>
          <w:sz w:val="32"/>
          <w:szCs w:val="32"/>
          <w:shd w:val="clear" w:color="auto" w:fill="auto"/>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875.52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502.12</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36.45</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highlight w:val="none"/>
          <w:shd w:val="clear" w:color="auto" w:fill="auto"/>
          <w:lang w:eastAsia="zh-CN"/>
        </w:rPr>
        <w:t>项目支出安排减少</w:t>
      </w:r>
      <w:r>
        <w:rPr>
          <w:rFonts w:hint="eastAsia" w:ascii="TimesNewRoman" w:hAnsi="TimesNewRoman" w:eastAsia="仿宋_GB2312" w:cs="TimesNewRoman"/>
          <w:kern w:val="0"/>
          <w:sz w:val="32"/>
          <w:szCs w:val="32"/>
          <w:highlight w:val="none"/>
          <w:shd w:val="clear" w:color="auto" w:fill="auto"/>
        </w:rPr>
        <w:t>。</w:t>
      </w:r>
    </w:p>
    <w:p>
      <w:pPr>
        <w:pStyle w:val="6"/>
        <w:adjustRightInd w:val="0"/>
        <w:snapToGrid w:val="0"/>
        <w:spacing w:line="560" w:lineRule="exact"/>
        <w:ind w:firstLine="947" w:firstLineChars="2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903.52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475.12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34.46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项目支出安排减少</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903.52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875.52</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457.32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257.22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128.55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通过</w:t>
      </w:r>
      <w:r>
        <w:rPr>
          <w:rFonts w:hint="eastAsia" w:ascii="仿宋_GB2312" w:hAnsi="仿宋" w:eastAsia="仿宋_GB2312"/>
          <w:sz w:val="32"/>
          <w:szCs w:val="32"/>
          <w:highlight w:val="none"/>
          <w:shd w:val="clear" w:color="auto" w:fill="auto"/>
          <w:lang w:eastAsia="zh-CN"/>
        </w:rPr>
        <w:t>政府采购的支出增加</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6.12</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429.32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93.88</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2025年没有安排政府购买服务支出。</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6"/>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自然资源和规划局本级</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lang w:val="en-US" w:eastAsia="zh-CN"/>
        </w:rPr>
        <w:t>67.32</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年预算减少</w:t>
      </w:r>
      <w:r>
        <w:rPr>
          <w:rFonts w:hint="eastAsia" w:ascii="TimesNewRoman" w:hAnsi="TimesNewRoman" w:eastAsia="仿宋_GB2312" w:cs="TimesNewRoman"/>
          <w:sz w:val="32"/>
          <w:szCs w:val="32"/>
          <w:lang w:val="en-US" w:eastAsia="zh-CN"/>
        </w:rPr>
        <w:t>133.32</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lang w:val="en-US" w:eastAsia="zh-CN"/>
        </w:rPr>
        <w:t>66.45</w:t>
      </w:r>
      <w:r>
        <w:rPr>
          <w:rFonts w:ascii="TimesNewRoman" w:hAnsi="TimesNewRoman" w:eastAsia="仿宋_GB2312" w:cs="TimesNewRoman"/>
          <w:sz w:val="32"/>
          <w:szCs w:val="32"/>
        </w:rPr>
        <w:t>%，原因主要是</w:t>
      </w:r>
      <w:r>
        <w:rPr>
          <w:rFonts w:hint="eastAsia" w:ascii="TimesNewRoman" w:hAnsi="TimesNewRoman" w:eastAsia="仿宋_GB2312" w:cs="TimesNewRoman"/>
          <w:sz w:val="32"/>
          <w:szCs w:val="32"/>
          <w:lang w:val="en-US" w:eastAsia="zh-CN"/>
        </w:rPr>
        <w:t>2025年本部门通用资产配置支出减少</w:t>
      </w:r>
      <w:r>
        <w:rPr>
          <w:rFonts w:ascii="TimesNewRoman" w:hAnsi="TimesNewRoman" w:eastAsia="仿宋_GB2312" w:cs="TimesNewRoman"/>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1、“办公楼运行维护费”项目。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（1）项目概述。包括办公楼电费、物业管理费，水费。</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（2）立项依据。淮行管[2011]8号</w:t>
      </w:r>
      <w:r>
        <w:rPr>
          <w:rFonts w:hint="eastAsia" w:ascii="TimesNewRoman" w:hAnsi="TimesNewRoman" w:eastAsia="仿宋_GB2312" w:cs="TimesNewRoman"/>
          <w:kern w:val="0"/>
          <w:sz w:val="32"/>
          <w:szCs w:val="32"/>
          <w:lang w:val="en-US" w:eastAsia="zh-CN"/>
        </w:rPr>
        <w:tab/>
      </w:r>
      <w:r>
        <w:rPr>
          <w:rFonts w:hint="eastAsia" w:ascii="TimesNewRoman" w:hAnsi="TimesNewRoman" w:eastAsia="仿宋_GB2312" w:cs="TimesNewRoman"/>
          <w:kern w:val="0"/>
          <w:sz w:val="32"/>
          <w:szCs w:val="32"/>
          <w:lang w:val="en-US" w:eastAsia="zh-CN"/>
        </w:rPr>
        <w:tab/>
      </w:r>
      <w:r>
        <w:rPr>
          <w:rFonts w:hint="eastAsia" w:ascii="TimesNewRoman" w:hAnsi="TimesNewRoman" w:eastAsia="仿宋_GB2312" w:cs="TimesNewRoman"/>
          <w:kern w:val="0"/>
          <w:sz w:val="32"/>
          <w:szCs w:val="32"/>
          <w:lang w:val="en-US" w:eastAsia="zh-CN"/>
        </w:rPr>
        <w:tab/>
      </w:r>
      <w:r>
        <w:rPr>
          <w:rFonts w:hint="eastAsia" w:ascii="TimesNewRoman" w:hAnsi="TimesNewRoman" w:eastAsia="仿宋_GB2312" w:cs="TimesNewRoman"/>
          <w:kern w:val="0"/>
          <w:sz w:val="32"/>
          <w:szCs w:val="32"/>
          <w:lang w:val="en-US" w:eastAsia="zh-CN"/>
        </w:rPr>
        <w:tab/>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（5）项目内容。</w:t>
      </w:r>
      <w:r>
        <w:rPr>
          <w:rFonts w:hint="eastAsia" w:ascii="TimesNewRoman" w:hAnsi="TimesNewRoman" w:eastAsia="仿宋_GB2312" w:cs="TimesNewRoman"/>
          <w:kern w:val="0"/>
          <w:sz w:val="32"/>
          <w:szCs w:val="32"/>
        </w:rPr>
        <w:t>办公产生的水电费（办公楼水电费）、物业管理费。</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（6）年度预算安排。48万元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办公楼运行维护费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办公大楼运行费用，保障日常运转需要。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指标1：服务人员数量</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严格执行相关财经法规制度</w:t>
            </w:r>
            <w:r>
              <w:rPr>
                <w:rFonts w:hint="eastAsia" w:ascii="宋体" w:hAnsi="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指标1：办公大楼运行费用</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包括物业费、水电费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指标1：提高服务能力</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指标1：增强生态文明</w:t>
            </w:r>
            <w:r>
              <w:rPr>
                <w:rFonts w:hint="eastAsia" w:ascii="宋体" w:hAnsi="宋体" w:cs="宋体"/>
                <w:color w:val="000000"/>
                <w:kern w:val="0"/>
                <w:sz w:val="20"/>
                <w:szCs w:val="20"/>
                <w:lang w:eastAsia="zh-CN"/>
              </w:rPr>
              <w:t>建设</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指标1：服务单位满意度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促进与服务单位合作，具有可持续影响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100</w:t>
            </w:r>
            <w:r>
              <w:rPr>
                <w:rFonts w:hint="eastAsia" w:ascii="宋体" w:hAnsi="宋体" w:cs="宋体"/>
                <w:color w:val="000000"/>
                <w:kern w:val="0"/>
                <w:sz w:val="20"/>
                <w:szCs w:val="20"/>
                <w:lang w:val="en-US" w:eastAsia="zh-CN"/>
              </w:rPr>
              <w:t>%</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2、“自然资源业务费”项目。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一）、办公运行业务费218.46万元：1、办公运行及其他经费:用于办公费、办公设备维修维护、党报党刊、党建活动、精神文明创建、结对帮扶、慰问贫困户和双拥、保密工作等；2、网络专线费；3、差旅补助；4、公务接待费用；5、会议费；6、普法宣传经费:用于电台媒体宣传、资料印刷、律师费等；7、专家评审劳务费:用于储量动态检测核查专家评审、测量管理专家评审费及委托保管费用、地质环境生态修复专家评审、自然资源行业领域规划中高级职称评审、自然资源科学大讲学堂授课费；8、行政服务中心人员服装费及窗口考核奖（3人窗口考核奖）；9、办公设备购置：更新办公电脑、打印机等。（二）、委托业务费：1、档案加工。2、中心机房维保费。3、审计费。4、节约集约用地经费：⑴市县2022-2025年城镇低效建设用地再开发专项规划和年度实施计划编制费；⑵年度批而未供和闲置土地上图编制费；⑶开展2023年度二三类园区监测统计费；⑷规划调整补缴土地出让金评估费用；⑸土地节约集约利用综合改革工作。5、市级卫星应用中心站技术服务费。6、淮北市采煤塌陷区基本情况调查经费。7、绿色矿山建设核查费。8、淮北市矿山生态修复技术支撑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（2）立项依据。（一）、财会【2018】3号、 国土资发〔2015〕68号、 皖国土资〔2015〕83号、皖国土资〔2015〕3号、财购[2011]27号、淮行管[2011]8号、淮拥[2018]1号、淮字[2017]40号等；《文明单位和社区结对帮扶》淮文委[2015]9号、《干部教育培训工作条例（试行）》、关于印发《2018年全市干部教育培训计划》的通知 淮干训字[2018]2号、淮国土资[2018]84号、财行[2015]2034号、财行[2016]23号、3.19矿产资源法宣传日、4.22世界地球日、《国土资源部办公厅关于组织开展第49个世界地球日主题宣传活动周的通知》（国土资厅函〔2018〕300号）、6.25全国土地日,3.19矿产资源法宣传日、4.22世界地球日、《国土资源部办公厅关于组织开展第49个世界地球日主题宣传活动周的通知》（国土资厅函〔2018〕300号）、6.25全国土地日《自然资源部办公厅关于组织开展第28个全国“土地日”主题宣传活动周的通知》（自然资办函〔2018〕407号）；《关于汇缴窗口工作人员月度考核奖的通知》、《关于中心窗口人员统一着装有关事项的通知》等。（二）、安徽省自然资源厅关于开展全省城镇低效建设用地再开发专项规划（2022-2025年）和年度实施计划编制工作的通知（皖自然资用函（2022）68号；2021年8月5日研究全市批而未供闲置土地处置和违法用地整改推进工作暨市辖区土地收储出让工作专题会议纪要。安徽省自然资源厅关于开展2022年度产业园区土地集约利用监测统计工作的通知（皖自然资用函（2022）125号。国有建设用地使用权出让地价评估技术规范》（国土资厅发〔2018〕4号）等。</w:t>
      </w:r>
      <w:r>
        <w:rPr>
          <w:rFonts w:hint="eastAsia" w:ascii="TimesNewRoman" w:hAnsi="TimesNewRoman" w:eastAsia="仿宋_GB2312" w:cs="TimesNewRoman"/>
          <w:kern w:val="0"/>
          <w:sz w:val="32"/>
          <w:szCs w:val="32"/>
          <w:lang w:val="en-US" w:eastAsia="zh-CN"/>
        </w:rPr>
        <w:tab/>
      </w:r>
      <w:r>
        <w:rPr>
          <w:rFonts w:hint="eastAsia" w:ascii="TimesNewRoman" w:hAnsi="TimesNewRoman" w:eastAsia="仿宋_GB2312" w:cs="TimesNewRoman"/>
          <w:kern w:val="0"/>
          <w:sz w:val="32"/>
          <w:szCs w:val="32"/>
          <w:lang w:val="en-US" w:eastAsia="zh-CN"/>
        </w:rPr>
        <w:t xml:space="preserve"> </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一）、办公运行业务费218.46万元：1、办公运行及其他经费:用于办公费、办公设备维修维护、党报党刊、党建活动、精神文明创建、结对帮扶、慰问贫困户和双拥、保密工作等；2、网络专线费；3、差旅补助；4、公务接待费用；5、会议费；6、普法宣传经费:用于电台媒体宣传、资料印刷、律师费等；7、专家评审劳务费:用于储量动态检测核查专家评审、测量管理专家评审费及委托保管费用、地质环境生态修复专家评审、自然资源行业领域规划中高级职称评审、自然资源科学大讲学堂授课费；8、行政服务中心人员服装费及窗口考核奖（3人窗口考核奖）；9、办公设备购置：更新办公电脑、打印机等。（二）、委托业务费：1、档案加工。2、中心机房维保费。3、审计费。4、节约集约用地经费：⑴市县2022-2025年城镇低效建设用地再开发专项规划和年度实施计划编制费；⑵年度批而未供和闲置土地上图编制费；⑶开展2023年度二三类园区监测统计费；⑷规划调整补缴土地出让金评估费用；⑸土地节约集约利用综合改革工作。5、市级卫星应用中心站技术服务费。6、淮北市采煤塌陷区基本情况调查经费。7、绿色矿山建设核查费。8、淮北市矿山生态修复技术支撑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（6）年度预算安排。325万元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提高管理科学化、规范化水平，保障各项业务工作的顺利推进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指标1：保障自然资源业务开展人次</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严格直营相关财经法规、制度等规定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指标1：项目完成所需成本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325万元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指标1：项目经济性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维护社会经济稳定，保证经济高质量发展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指标1：提高社会服务能力</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指标1：增强生态文明</w:t>
            </w:r>
            <w:r>
              <w:rPr>
                <w:rFonts w:hint="eastAsia" w:ascii="宋体" w:hAnsi="宋体" w:cs="宋体"/>
                <w:color w:val="000000"/>
                <w:kern w:val="0"/>
                <w:sz w:val="20"/>
                <w:szCs w:val="20"/>
                <w:lang w:eastAsia="zh-CN"/>
              </w:rPr>
              <w:t>建设</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增强生态文明意识，维护生态平稳发展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指标1：自然资源业务稳定发展</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具有可持续影响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100</w:t>
            </w:r>
            <w:r>
              <w:rPr>
                <w:rFonts w:hint="eastAsia" w:ascii="宋体" w:hAnsi="宋体" w:cs="宋体"/>
                <w:color w:val="000000"/>
                <w:kern w:val="0"/>
                <w:sz w:val="20"/>
                <w:szCs w:val="20"/>
                <w:lang w:val="en-US" w:eastAsia="zh-CN"/>
              </w:rPr>
              <w:t>%</w:t>
            </w:r>
          </w:p>
        </w:tc>
      </w:tr>
    </w:tbl>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淮北市标准地图编制</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安徽省自然资源厅2024年测绘地理信息管理工作要点要求，编制发布“一市一图”、“一县一图”为政府部门决策提供基础性服务保障，为广大民众日常生活提供丰富、准确的公共地图服务，按省厅要求电子地图在门户网站提供下载服务。目前我市标准地图为2020年编制，因城市发展多处道路、建筑、地名等均发生变化。需编制淮北标准地图：1、淮北市行政区域图，2、淮北市城区图。</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（2）立项依据。《安徽省自然资源厅关于印发安徽省2024年测绘地理信息管理工作要点的通知》《安徽省自然资源厅关于 2024 年度标准地图 编制发布工作的通知》</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2024年1月-2024年12月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安徽省自然资源厅2024年测绘地理信息管理工作要点要求，编制发布“一市一图”、“一县一图”为政府部门决策提供基础性服务保障，为广大民众日常生活提供丰富、准确的公共地图服务，按省厅要求电子地图在门户网站提供下载服务。目前我市标准地图为2020年编制，因城市发展多处道路、建筑、地名等均发生变化。需编制淮北标准地图：1、淮北市行政区域图，2、淮北市城区图。</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cs="宋体"/>
                <w:sz w:val="20"/>
              </w:rPr>
              <w:t>淮北市实景三维中国建设项目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jc w:val="center"/>
              <w:rPr>
                <w:rFonts w:hint="eastAsia" w:ascii="宋体" w:cs="宋体"/>
                <w:sz w:val="20"/>
              </w:rPr>
            </w:pPr>
            <w:r>
              <w:rPr>
                <w:rFonts w:hint="eastAsia" w:ascii="宋体" w:cs="宋体"/>
                <w:sz w:val="20"/>
              </w:rPr>
              <w:t>项目期</w:t>
            </w:r>
          </w:p>
        </w:tc>
        <w:tc>
          <w:tcPr>
            <w:tcW w:w="2380" w:type="dxa"/>
            <w:noWrap w:val="0"/>
            <w:vAlign w:val="center"/>
          </w:tcPr>
          <w:p>
            <w:pPr>
              <w:jc w:val="center"/>
              <w:rPr>
                <w:rFonts w:hint="eastAsia"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eastAsia" w:ascii="宋体" w:cs="宋体"/>
                <w:color w:val="auto"/>
                <w:sz w:val="20"/>
              </w:rPr>
            </w:pPr>
            <w:r>
              <w:rPr>
                <w:rFonts w:hint="eastAsia" w:ascii="宋体" w:cs="宋体"/>
                <w:color w:val="auto"/>
                <w:sz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hint="eastAsia" w:ascii="宋体" w:cs="宋体"/>
                <w:color w:val="auto"/>
                <w:sz w:val="20"/>
              </w:rPr>
            </w:pPr>
            <w:r>
              <w:rPr>
                <w:rFonts w:hint="eastAsia" w:ascii="宋体" w:cs="宋体"/>
                <w:color w:val="auto"/>
                <w:sz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eastAsia"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cs="宋体"/>
                <w:sz w:val="20"/>
              </w:rPr>
            </w:pPr>
            <w:r>
              <w:rPr>
                <w:rFonts w:hint="eastAsia" w:ascii="宋体" w:hAnsi="宋体" w:cs="宋体"/>
                <w:color w:val="000000"/>
                <w:kern w:val="0"/>
                <w:sz w:val="20"/>
                <w:szCs w:val="20"/>
              </w:rPr>
              <w:t>为政府部门决策提供基础性服务保障，为广大民众日常生活提供丰富、准确的公共地图服务，编制淮北市标准地图。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数据完成</w:t>
            </w:r>
            <w:r>
              <w:rPr>
                <w:rFonts w:hint="eastAsia" w:ascii="宋体" w:hAnsi="宋体" w:cs="宋体"/>
                <w:color w:val="000000"/>
                <w:kern w:val="0"/>
                <w:sz w:val="20"/>
                <w:szCs w:val="20"/>
              </w:rPr>
              <w:t>量</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完成基础要素版、自然地理版、交通版、政区版、旅游景点版。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指标1：数据库成果</w:t>
            </w:r>
          </w:p>
        </w:tc>
        <w:tc>
          <w:tcPr>
            <w:tcW w:w="4228" w:type="dxa"/>
            <w:gridSpan w:val="2"/>
            <w:noWrap w:val="0"/>
            <w:vAlign w:val="center"/>
          </w:tcPr>
          <w:p>
            <w:pPr>
              <w:widowControl/>
              <w:spacing w:line="2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经法定程序审核后印发。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项目完成时</w:t>
            </w:r>
            <w:r>
              <w:rPr>
                <w:rFonts w:hint="eastAsia" w:ascii="宋体" w:hAnsi="宋体" w:cs="宋体"/>
                <w:color w:val="000000"/>
                <w:kern w:val="0"/>
                <w:sz w:val="20"/>
                <w:szCs w:val="20"/>
              </w:rPr>
              <w:t>间</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w:t>
            </w:r>
            <w:r>
              <w:rPr>
                <w:rFonts w:ascii="宋体" w:hAnsi="宋体" w:cs="宋体"/>
                <w:color w:val="000000"/>
                <w:kern w:val="0"/>
                <w:sz w:val="20"/>
                <w:szCs w:val="20"/>
              </w:rPr>
              <w:t>99</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指标1：委托业务费及其其他经费</w:t>
            </w:r>
          </w:p>
        </w:tc>
        <w:tc>
          <w:tcPr>
            <w:tcW w:w="4228" w:type="dxa"/>
            <w:gridSpan w:val="2"/>
            <w:noWrap w:val="0"/>
            <w:vAlign w:val="center"/>
          </w:tcPr>
          <w:p>
            <w:pPr>
              <w:widowControl/>
              <w:spacing w:line="2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避免重复建</w:t>
            </w:r>
            <w:r>
              <w:rPr>
                <w:rFonts w:hint="eastAsia" w:ascii="宋体" w:hAnsi="宋体" w:cs="宋体"/>
                <w:color w:val="000000"/>
                <w:kern w:val="0"/>
                <w:sz w:val="20"/>
                <w:szCs w:val="20"/>
              </w:rPr>
              <w:t>设</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为政府部门决策提供基础性服务保障，为广大民众日常生活提供丰富、准确的公共地图服务。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数据共</w:t>
            </w:r>
            <w:r>
              <w:rPr>
                <w:rFonts w:hint="eastAsia" w:ascii="宋体" w:hAnsi="宋体" w:cs="宋体"/>
                <w:color w:val="000000"/>
                <w:kern w:val="0"/>
                <w:sz w:val="20"/>
                <w:szCs w:val="20"/>
              </w:rPr>
              <w:t>享</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推进自然资源信息对社会开放共享，满足经济发展需</w:t>
            </w:r>
            <w:r>
              <w:rPr>
                <w:rFonts w:hint="eastAsia" w:ascii="宋体" w:hAnsi="宋体" w:cs="宋体"/>
                <w:color w:val="000000"/>
                <w:kern w:val="0"/>
                <w:sz w:val="20"/>
                <w:szCs w:val="20"/>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项目生态效</w:t>
            </w:r>
            <w:r>
              <w:rPr>
                <w:rFonts w:hint="eastAsia" w:ascii="宋体" w:hAnsi="宋体" w:cs="宋体"/>
                <w:color w:val="000000"/>
                <w:kern w:val="0"/>
                <w:sz w:val="20"/>
                <w:szCs w:val="20"/>
              </w:rPr>
              <w:t>益</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日常业务需</w:t>
            </w:r>
            <w:r>
              <w:rPr>
                <w:rFonts w:hint="eastAsia" w:ascii="宋体" w:hAnsi="宋体" w:cs="宋体"/>
                <w:color w:val="000000"/>
                <w:kern w:val="0"/>
                <w:sz w:val="20"/>
                <w:szCs w:val="20"/>
              </w:rPr>
              <w:t>求</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对内支撑资源和规划等业务支撑，对外可提供基础地理信息服</w:t>
            </w:r>
            <w:r>
              <w:rPr>
                <w:rFonts w:hint="eastAsia" w:ascii="宋体" w:hAnsi="宋体" w:cs="宋体"/>
                <w:color w:val="000000"/>
                <w:kern w:val="0"/>
                <w:sz w:val="20"/>
                <w:szCs w:val="20"/>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提高工作效</w:t>
            </w:r>
            <w:r>
              <w:rPr>
                <w:rFonts w:hint="eastAsia" w:ascii="宋体" w:hAnsi="宋体" w:cs="宋体"/>
                <w:color w:val="000000"/>
                <w:kern w:val="0"/>
                <w:sz w:val="20"/>
                <w:szCs w:val="20"/>
              </w:rPr>
              <w:t>率</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满</w:t>
            </w:r>
            <w:r>
              <w:rPr>
                <w:rFonts w:hint="eastAsia" w:ascii="宋体" w:hAnsi="宋体" w:cs="宋体"/>
                <w:color w:val="000000"/>
                <w:kern w:val="0"/>
                <w:sz w:val="20"/>
                <w:szCs w:val="20"/>
              </w:rPr>
              <w:t>意。</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淮北市实景三维中国建设项目</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实景三维淮北作为实景三维安徽的重要组成部分，全面推进实景三维淮北建设，是贯彻落实政府建设数字淮北、推进数字政府高质量建设的重要举措。为深入贯彻落实实景三维安徽建设的工作部署，实景三维淮北建设由省自然资源厅统一部署，淮北市自然资源和规划局按照任务分工，协同开展。计划建设淮北市城市城镇开发边界范围内约200平方公里城市级二维形式基础地理实体数据、城市三维模型（LOD1.3级）和建成区范围约70平方公里倾斜摄影三维模型、城市级三维形式基础地理实体数据。第一期完成40%工作量数据生产计划，第二期完成30%数据生产及建库任务，第三期完成剩余30%数据生产及建库任务。</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（2）立项依据。中共中央、国务院印发 《数字中国建设整体布局规划》</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自然资发〔2023〕31号 《自然资源部关于印发&lt;实景三维中国建设总体实施方案(2023-2025年)&gt;的通知》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自然资办发〔2022〕7号 《自然资源部办公厅关于全面推进实景三维中国建设的通知》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自然资发[2023]158号 《自然资源部关于加快测绘地理信息事业转型升级 更好支撑高质量发展的意见》</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皖自然资测[2023]1号《安徽省自然资源厅关于印发&lt;安徽省实景三维中国建设实施方案（2023—2025年）&gt;的通知》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《安徽省测绘地理信息条例》</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2025年1月-2025年12月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实景三维淮北作为实景三维安徽的重要组成部分，全面推进实景三维淮北建设，是贯彻落实政府建设数字淮北、推进数字政府高质量建设的重要举措。为深入贯彻落实实景三维安徽建设的工作部署，实景三维淮北建设由省自然资源厅统一部署，淮北市自然资源和规划局按照任务分工，协同开展。计划建设淮北市城市城镇开发边界范围内约200平方公里城市级二维形式基础地理实体数据、城市三维模型（LOD1.3级）和建成区范围约70平方公里倾斜摄影三维模型、城市级三维形式基础地理实体数据。第一期完成40%工作量数据生产计划，第二期完成30%数据生产及建库任务，第三期完成剩余30%数据生产及建库任务。</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112万元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cs="宋体"/>
                <w:sz w:val="20"/>
              </w:rPr>
              <w:t>淮北市实景三维中国建设项目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jc w:val="center"/>
              <w:rPr>
                <w:rFonts w:hint="eastAsia" w:ascii="宋体" w:cs="宋体"/>
                <w:sz w:val="20"/>
              </w:rPr>
            </w:pPr>
            <w:r>
              <w:rPr>
                <w:rFonts w:hint="eastAsia" w:ascii="宋体" w:cs="宋体"/>
                <w:sz w:val="20"/>
              </w:rPr>
              <w:t>项目期</w:t>
            </w:r>
          </w:p>
        </w:tc>
        <w:tc>
          <w:tcPr>
            <w:tcW w:w="2380" w:type="dxa"/>
            <w:noWrap w:val="0"/>
            <w:vAlign w:val="center"/>
          </w:tcPr>
          <w:p>
            <w:pPr>
              <w:jc w:val="center"/>
              <w:rPr>
                <w:rFonts w:hint="eastAsia"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eastAsia" w:ascii="宋体" w:cs="宋体"/>
                <w:color w:val="auto"/>
                <w:sz w:val="20"/>
              </w:rPr>
            </w:pPr>
            <w:r>
              <w:rPr>
                <w:rFonts w:hint="eastAsia" w:ascii="宋体" w:cs="宋体"/>
                <w:color w:val="auto"/>
                <w:sz w:val="2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color w:val="auto"/>
                <w:sz w:val="20"/>
              </w:rPr>
            </w:pPr>
            <w:r>
              <w:rPr>
                <w:rFonts w:hint="eastAsia" w:ascii="宋体" w:cs="宋体"/>
                <w:color w:val="auto"/>
                <w:sz w:val="2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eastAsia"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目标1：完成辖区内约140平方公里城市级实景三维数据，包括获取优于2米格网DEM、DSM数据，优于0.2米分辨率DOM数据；制作优于0.05米分辨率的倾斜摄影影像，生产城市级基础地理实体数据、城市三维模型（LOD1.3级）快速构建。</w:t>
            </w:r>
          </w:p>
          <w:p>
            <w:pPr>
              <w:jc w:val="left"/>
              <w:rPr>
                <w:rFonts w:hint="eastAsia" w:ascii="宋体" w:hAnsi="宋体" w:cs="宋体"/>
                <w:color w:val="000000"/>
                <w:kern w:val="0"/>
                <w:sz w:val="20"/>
                <w:szCs w:val="20"/>
              </w:rPr>
            </w:pPr>
            <w:r>
              <w:rPr>
                <w:rFonts w:hint="eastAsia" w:ascii="宋体" w:hAnsi="宋体" w:cs="宋体"/>
                <w:color w:val="000000"/>
                <w:kern w:val="0"/>
                <w:sz w:val="20"/>
                <w:szCs w:val="20"/>
              </w:rPr>
              <w:t>目标2：配合省级共同开展地理实体唯一编码协调统一处理和实体语义关系的建立。</w:t>
            </w:r>
          </w:p>
          <w:p>
            <w:pPr>
              <w:jc w:val="left"/>
              <w:rPr>
                <w:rFonts w:ascii="宋体" w:cs="宋体"/>
                <w:sz w:val="20"/>
              </w:rPr>
            </w:pPr>
            <w:r>
              <w:rPr>
                <w:rFonts w:hint="eastAsia" w:ascii="宋体" w:hAnsi="宋体" w:cs="宋体"/>
                <w:color w:val="000000"/>
                <w:kern w:val="0"/>
                <w:sz w:val="20"/>
                <w:szCs w:val="20"/>
              </w:rPr>
              <w:t>目标3：完成本年度生产的实景三维数据成果建库，并向省级汇交本市本年度采集生产的数据。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数据完成</w:t>
            </w:r>
            <w:r>
              <w:rPr>
                <w:rFonts w:hint="eastAsia" w:ascii="宋体" w:hAnsi="宋体" w:cs="宋体"/>
                <w:color w:val="000000"/>
                <w:kern w:val="0"/>
                <w:sz w:val="20"/>
                <w:szCs w:val="20"/>
              </w:rPr>
              <w:t>量</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数据通过省质检站质检合格。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按计划完成项目数据生产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指标1：委托业务费及其他经费</w:t>
            </w:r>
          </w:p>
        </w:tc>
        <w:tc>
          <w:tcPr>
            <w:tcW w:w="4228" w:type="dxa"/>
            <w:gridSpan w:val="2"/>
            <w:noWrap w:val="0"/>
            <w:vAlign w:val="center"/>
          </w:tcPr>
          <w:p>
            <w:pPr>
              <w:widowControl/>
              <w:spacing w:line="200" w:lineRule="exact"/>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≤112</w:t>
            </w:r>
            <w:r>
              <w:rPr>
                <w:rFonts w:hint="eastAsia" w:ascii="宋体" w:hAnsi="宋体" w:cs="宋体"/>
                <w:color w:val="000000"/>
                <w:kern w:val="0"/>
                <w:sz w:val="20"/>
                <w:szCs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避免重复建</w:t>
            </w:r>
            <w:r>
              <w:rPr>
                <w:rFonts w:hint="eastAsia" w:ascii="宋体" w:hAnsi="宋体" w:cs="宋体"/>
                <w:color w:val="000000"/>
                <w:kern w:val="0"/>
                <w:sz w:val="20"/>
                <w:szCs w:val="20"/>
              </w:rPr>
              <w:t>设</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更</w:t>
            </w:r>
            <w:r>
              <w:rPr>
                <w:rFonts w:hint="eastAsia" w:ascii="宋体" w:hAnsi="宋体" w:cs="宋体"/>
                <w:color w:val="000000"/>
                <w:kern w:val="0"/>
                <w:sz w:val="20"/>
                <w:szCs w:val="20"/>
                <w:lang w:eastAsia="zh-CN"/>
              </w:rPr>
              <w:t>好</w:t>
            </w:r>
            <w:r>
              <w:rPr>
                <w:rFonts w:hint="eastAsia" w:ascii="宋体" w:hAnsi="宋体" w:cs="宋体"/>
                <w:color w:val="000000"/>
                <w:kern w:val="0"/>
                <w:sz w:val="20"/>
                <w:szCs w:val="20"/>
              </w:rPr>
              <w:t>地挖掘数据资源、信息经济的潜在价值及优势。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数据共</w:t>
            </w:r>
            <w:r>
              <w:rPr>
                <w:rFonts w:hint="eastAsia" w:ascii="宋体" w:hAnsi="宋体" w:cs="宋体"/>
                <w:color w:val="000000"/>
                <w:kern w:val="0"/>
                <w:sz w:val="20"/>
                <w:szCs w:val="20"/>
              </w:rPr>
              <w:t>享</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推进自然资源信息对社会开放共享，满足经济发展需</w:t>
            </w:r>
            <w:r>
              <w:rPr>
                <w:rFonts w:hint="eastAsia" w:ascii="宋体" w:hAnsi="宋体" w:cs="宋体"/>
                <w:color w:val="000000"/>
                <w:kern w:val="0"/>
                <w:sz w:val="20"/>
                <w:szCs w:val="20"/>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项目生态效</w:t>
            </w:r>
            <w:r>
              <w:rPr>
                <w:rFonts w:hint="eastAsia" w:ascii="宋体" w:hAnsi="宋体" w:cs="宋体"/>
                <w:color w:val="000000"/>
                <w:kern w:val="0"/>
                <w:sz w:val="20"/>
                <w:szCs w:val="20"/>
              </w:rPr>
              <w:t>益</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维持社会生态平衡稳定发</w:t>
            </w:r>
            <w:r>
              <w:rPr>
                <w:rFonts w:hint="eastAsia" w:ascii="宋体" w:hAnsi="宋体" w:cs="宋体"/>
                <w:color w:val="000000"/>
                <w:kern w:val="0"/>
                <w:sz w:val="20"/>
                <w:szCs w:val="20"/>
              </w:rPr>
              <w:t>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日常业务需</w:t>
            </w:r>
            <w:r>
              <w:rPr>
                <w:rFonts w:hint="eastAsia" w:ascii="宋体" w:hAnsi="宋体" w:cs="宋体"/>
                <w:color w:val="000000"/>
                <w:kern w:val="0"/>
                <w:sz w:val="20"/>
                <w:szCs w:val="20"/>
              </w:rPr>
              <w:t>求</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对内支撑资源和规划等业务支撑，对外可提供基础地理信息服</w:t>
            </w:r>
            <w:r>
              <w:rPr>
                <w:rFonts w:hint="eastAsia" w:ascii="宋体" w:hAnsi="宋体" w:cs="宋体"/>
                <w:color w:val="000000"/>
                <w:kern w:val="0"/>
                <w:sz w:val="20"/>
                <w:szCs w:val="20"/>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提高工作效</w:t>
            </w:r>
            <w:r>
              <w:rPr>
                <w:rFonts w:hint="eastAsia" w:ascii="宋体" w:hAnsi="宋体" w:cs="宋体"/>
                <w:color w:val="000000"/>
                <w:kern w:val="0"/>
                <w:sz w:val="20"/>
                <w:szCs w:val="20"/>
              </w:rPr>
              <w:t>率</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提升市民满意</w:t>
            </w:r>
            <w:r>
              <w:rPr>
                <w:rFonts w:hint="eastAsia" w:ascii="宋体" w:hAnsi="宋体" w:cs="宋体"/>
                <w:color w:val="000000"/>
                <w:kern w:val="0"/>
                <w:sz w:val="20"/>
                <w:szCs w:val="20"/>
              </w:rPr>
              <w:t>度。</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5、“信息化系统运维方案”项目。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项目概述。“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二、“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w:t>
      </w:r>
      <w:r>
        <w:rPr>
          <w:rFonts w:hint="eastAsia" w:ascii="TimesNewRoman" w:hAnsi="TimesNewRoman" w:eastAsia="仿宋_GB2312" w:cs="TimesNewRoman"/>
          <w:kern w:val="0"/>
          <w:sz w:val="32"/>
          <w:szCs w:val="32"/>
        </w:rPr>
        <w:t>安徽省自然资源厅关于印发“全省自然资源系统信息化提升行动计划（2018-2020年）”的通知》（皖国土资〔2018〕61号）、《安徽省自然资源信息化“十四五”规划》（皖自然资〔2022〕2号）以及《关于加快测绘地理信息事业转型升级更好支撑高质量发展的实施意见》(皖自然资测〔2023〕2号)等文件。</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三、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（6）年度预算安排。67.32万元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numPr>
                <w:ilvl w:val="0"/>
                <w:numId w:val="0"/>
              </w:numPr>
              <w:ind w:left="420" w:leftChars="0"/>
              <w:jc w:val="center"/>
              <w:rPr>
                <w:rFonts w:ascii="宋体" w:cs="宋体"/>
                <w:sz w:val="20"/>
              </w:rPr>
            </w:pPr>
            <w:r>
              <w:rPr>
                <w:rFonts w:hint="eastAsia" w:ascii="宋体" w:cs="宋体"/>
                <w:sz w:val="20"/>
                <w:lang w:eastAsia="zh-CN"/>
              </w:rPr>
              <w:t>信息化系统运维方案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eastAsia="宋体" w:cs="宋体"/>
                <w:sz w:val="20"/>
                <w:lang w:val="en-US" w:eastAsia="zh-CN"/>
              </w:rPr>
              <w:t>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eastAsia="宋体" w:cs="宋体"/>
                <w:sz w:val="20"/>
                <w:lang w:val="en-US" w:eastAsia="zh-CN"/>
              </w:rPr>
              <w:t>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三、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cs="宋体"/>
                <w:sz w:val="20"/>
              </w:rPr>
              <w:t>项目指标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指标1：</w:t>
            </w:r>
            <w:r>
              <w:rPr>
                <w:rFonts w:hint="eastAsia" w:ascii="宋体" w:hAnsi="宋体" w:cs="宋体"/>
                <w:color w:val="000000"/>
                <w:kern w:val="0"/>
                <w:sz w:val="20"/>
                <w:szCs w:val="20"/>
                <w:lang w:eastAsia="zh-CN"/>
              </w:rPr>
              <w:t>日常维护信息系统数量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指标1：</w:t>
            </w:r>
            <w:r>
              <w:rPr>
                <w:rFonts w:hint="eastAsia" w:ascii="宋体" w:hAnsi="宋体" w:eastAsia="宋体" w:cs="宋体"/>
                <w:color w:val="000000"/>
                <w:kern w:val="0"/>
                <w:sz w:val="20"/>
                <w:szCs w:val="20"/>
              </w:rPr>
              <w:t>系统、平台、设备正常运行率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rPr>
              <w:t>≤</w:t>
            </w:r>
            <w:r>
              <w:rPr>
                <w:rFonts w:hint="eastAsia"/>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指标1：系统运维服务周期</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指标1：软件运维服务费</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67.32万元。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指标1：</w:t>
            </w:r>
            <w:r>
              <w:rPr>
                <w:rFonts w:hint="eastAsia" w:ascii="宋体" w:hAnsi="宋体" w:eastAsia="宋体" w:cs="宋体"/>
                <w:color w:val="000000"/>
                <w:kern w:val="0"/>
                <w:sz w:val="20"/>
                <w:szCs w:val="20"/>
              </w:rPr>
              <w:t>信息化运维所服务单位数量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指标1：</w:t>
            </w:r>
            <w:r>
              <w:rPr>
                <w:rFonts w:hint="eastAsia" w:ascii="宋体" w:hAnsi="宋体" w:eastAsia="宋体" w:cs="宋体"/>
                <w:color w:val="000000"/>
                <w:kern w:val="0"/>
                <w:sz w:val="20"/>
                <w:szCs w:val="20"/>
              </w:rPr>
              <w:t>数据共享服务部门</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指标1：降低办公成品印制污染率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指标1：数据库服务年限</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10年</w:t>
            </w: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指标1：使用单位和人员满意度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lang w:eastAsia="zh-CN"/>
              </w:rPr>
              <w:t>100%</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、“博士后课题研究项目经费、管理经费”项目。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关于批准国网安徽省电力有限公司等69个单位设立第十批省级博士后科研工作站的通知》要求，淮北市土地复垦整理中心（淮北市采煤塌陷区综合治理办公室）博士后科研工作站第一期博士后朱晓峻即将完成课题研究并出站，按照博士后相关管理要求及开展工作的需要，将启动第二期博士后工作站研究工作。经局领导指示，并依照第一期相关管理制度和做法，现申报第二期（2025年——2026年）博士后研究课题经费及培训管理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企业博士后工作管理暂行规定》、《安徽省博士后管理工作规定》、《关于批准国网安徽省电力有限公司等69个单位设立第十批省级博士后科研工作站的通知》和《关于开展2020年度省级博士后科研工作站评估工作的通知》。</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根据《关于批准国网安徽省电力有限公司等69个单位设立第十批省级博士后科研工作站的通知》要求，淮北市土地复垦整理中心（淮北市采煤塌陷区综合治理办公室）博士后科研工作站第一期博士后朱晓峻即将完成课题研究并出站，按照博士后相关管理要求及开展工作的需要，将启动第二期博士后工作站研究工作。</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博士后课题研究项目经费、管理经费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lang w:val="en-US"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eastAsia="宋体" w:cs="宋体"/>
                <w:sz w:val="20"/>
                <w:lang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综合沉陷区耕地数量、质量、生态问题，如耕地的位置、大小、土地覆盖类型、土壤类型、植被指数等，提出一套适合采煤沉陷区耕地三位一体治理的综合智能检测监管评估平台，实现耕地保护精准感知、智能识别、动态预警、科学决策，用数字技术帮助自然资源部门加固耕地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指标1：论文数量</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指标1：论文质量等级</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SCI期刊论文收录标准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指标1：在站时长</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指标1：科研活动资助经费</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eastAsia="zh-CN"/>
              </w:rPr>
              <w:t>＝</w:t>
            </w:r>
            <w:r>
              <w:rPr>
                <w:rFonts w:hint="eastAsia" w:ascii="宋体" w:cs="宋体"/>
                <w:sz w:val="20"/>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指标1：科研课题隐性经济效益</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利用深度学习方法进行特征提取，构建一种基于Transformer架构的模型，使用已标记的耕地数据来训练模型，识别不同类型的地表特征，利用变化检测算法识别耕地的变化情况，如侵蚀、退化、植被覆盖度变化等，及时发现耕地退化和破坏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指标1：课题研究的社会效果</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通过博士后课题研究，将研究成果适用于矿区耕地保护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指标1：课题研究带来的生态效果</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指导矿山生态环境保护与恢复治理。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指标1：课题研究促进项目区可持续发展程度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为中心湖带未来可持续发展提供指导和帮助。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指标1：干部群众满意度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干部群众满意度高。</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7、“淮北市国土空间规划中期评估项目”。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（1）项目概述。按照《国土空间规划城市体检评估规程（TD/T1063-2021）》要求，结合国土空间总体规划编制，开展淮北市国土空间规划中期评估工作，</w:t>
      </w:r>
      <w:r>
        <w:rPr>
          <w:rFonts w:hint="default" w:ascii="TimesNewRoman" w:hAnsi="TimesNewRoman" w:eastAsia="仿宋_GB2312" w:cs="TimesNewRoman"/>
          <w:kern w:val="0"/>
          <w:sz w:val="32"/>
          <w:szCs w:val="32"/>
          <w:lang w:val="en-US" w:eastAsia="zh-CN"/>
        </w:rPr>
        <w:t>系统分析城市发展趋势，对照规划目标和内容进行全面综合评估，对规划进行动态维护。</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（2）立项依据。《中共中央 国务院关于建立国土空间规划体系并监督实施的若干意见（中发〔2019〕18号）》《国土空间规划城市体检评估规程（TD/T1063-2021）》《自然资源部关于做好城镇开发边界管理的通知（试行）（自然资发〔2023〕193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国土空间规划城市体检评估指的是依据国土空间规划，按照“一年一体检、五年一评估”的方式，对城市发展体征及规划实施效果定期进行的分析和评价，是促进城市高质量发展，保障国土空间规划得到有效实施的重要工具。《中共中央 国务院关于建立国土空间规划体系并监督实施的若干意见(中发〔2019〕18号)》提出，“建立国土空间规划定期评估制度，结合国民经济社会发展实际和规划定期评估结果，对国土空间规划进行动态调整完善。”体检评估是国土空间规划编制和动态维护的前置环节和重要依据。年度体检指对国土空间规划实施情况的年度监测，客观反映城市体征状态，聚焦当年度规划实施的关键变量和核心任务，对发现的问题提出预警。五年评估指对国土空间规划实施情况的阶段性评估，系统分析城市发展趋势，对照规划目标和内容进行全面综合评估，对规划进行动态维护。为了进一步调整完善城镇开发边界线、生态保护红线、永久基本农田保护线以及淮北市国土空间总体规划成果，有效推进“十五五”期间我市重大建设项目的落地实施，按照《国土空间规划城市体检评估规程（TD/T1063-2021）》要求，结合国土空间总体规划编制，开展淮北市国土空间规划中期评估工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淮北市国土空间规划中期评估项目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lang w:val="en-US" w:eastAsia="zh-CN"/>
              </w:rPr>
              <w:t>1</w:t>
            </w:r>
            <w:r>
              <w:rPr>
                <w:rFonts w:hint="eastAsia" w:ascii="宋体" w:eastAsia="宋体" w:cs="宋体"/>
                <w:sz w:val="20"/>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按照《国土空间规划城市体检评估规程》（TD/T1063-2021），结合国土空间总体规划编制，完成淮北市国土空间规划中期评估</w:t>
            </w:r>
            <w:r>
              <w:rPr>
                <w:rFonts w:hint="eastAsia" w:ascii="宋体" w:hAnsi="宋体" w:cs="宋体"/>
                <w:color w:val="000000"/>
                <w:kern w:val="0"/>
                <w:sz w:val="20"/>
                <w:szCs w:val="20"/>
                <w:lang w:eastAsia="zh-CN"/>
              </w:rPr>
              <w:t>初步工作。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val="en-US" w:eastAsia="zh-CN"/>
              </w:rPr>
              <w:t>完成体检评估基本指标类别</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：与《国土空间规划体检评估规程》符合性</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：评估完成时间</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评估费用</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val="en-US" w:eastAsia="zh-CN"/>
              </w:rPr>
              <w:t>项目总成本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：体检评估中创新协调指标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：体检评估中绿色发展指标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：体检评估中可持续影响指标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lang w:eastAsia="zh-CN"/>
        </w:rPr>
        <w:t>全民所有自然资源资产清查</w:t>
      </w:r>
      <w:r>
        <w:rPr>
          <w:rFonts w:hint="eastAsia" w:ascii="TimesNewRoman" w:hAnsi="TimesNewRoman" w:eastAsia="仿宋_GB2312" w:cs="TimesNewRoman"/>
          <w:kern w:val="0"/>
          <w:sz w:val="32"/>
          <w:szCs w:val="32"/>
          <w:lang w:val="en-US" w:eastAsia="zh-CN"/>
        </w:rPr>
        <w:t>”项目。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w:t>
      </w:r>
      <w:r>
        <w:rPr>
          <w:rFonts w:hint="eastAsia" w:ascii="TimesNewRoman" w:hAnsi="TimesNewRoman" w:eastAsia="仿宋_GB2312" w:cs="TimesNewRoman"/>
          <w:kern w:val="0"/>
          <w:sz w:val="32"/>
          <w:szCs w:val="32"/>
          <w:lang w:eastAsia="zh-CN"/>
        </w:rPr>
        <w:t>为摸清全民所有自然资源资产家底，夯实自然资源资产管理基础，开展我市全民所有自然资源资产清查工作，在全市范围内全面开展全民所有土地、矿产、森林、草原等</w:t>
      </w:r>
      <w:r>
        <w:rPr>
          <w:rFonts w:hint="eastAsia" w:ascii="TimesNewRoman" w:hAnsi="TimesNewRoman" w:eastAsia="仿宋_GB2312" w:cs="TimesNewRoman"/>
          <w:kern w:val="0"/>
          <w:sz w:val="32"/>
          <w:szCs w:val="32"/>
          <w:lang w:val="en-US" w:eastAsia="zh-CN"/>
        </w:rPr>
        <w:t>4类自然资源资产清查，专项开展省属国有企业和省级行政事业单位国有土地资产清查。以习近平新时代中国特色社会主义思想为指导，深入贯彻学习习近平生态文明思想，落实“两统一”职责要求，推动建立我市资产清查制度，切实落实和维护所有者权益。主要项目内容包括完成资产清查省级价格体系的更新和完善；完成基准时点各类自然资源资产实物量清查、价值量核算以及专项清查，形成实物量图层、价值量图层；完成未确定使用权人国有建设用地清查；完成更新基准时点各类自然资源资产清查实物量及价值量成果，形成资产“一张图”，支撑统一履行所有者职责；定期开展全面资产清查和年度变动更新。积极运用全民自然资源资产清查结果，为2026年国有自然资源资产管理情况专项报告、全民所有自然资源资产负债表、领导干部自然资源资产离任审计等工作提供基础支撑。</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自然资源部关于全面开展全民所有自然资源资产清查工作的通知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（自然资发〔2024〕127号）</w:t>
      </w:r>
      <w:r>
        <w:rPr>
          <w:rFonts w:hint="eastAsia" w:ascii="TimesNewRoman" w:hAnsi="TimesNewRoman" w:eastAsia="仿宋_GB2312" w:cs="TimesNewRoman"/>
          <w:kern w:val="0"/>
          <w:sz w:val="32"/>
          <w:szCs w:val="32"/>
          <w:lang w:eastAsia="zh-CN"/>
        </w:rPr>
        <w:t>，《安徽省自然资源厅关于印发安徽省全民所有自然资源资产清查实施方案的通知》</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皖自然资权</w:t>
      </w:r>
      <w:r>
        <w:rPr>
          <w:rFonts w:hint="eastAsia" w:ascii="TimesNewRoman" w:hAnsi="TimesNewRoman" w:eastAsia="仿宋_GB2312" w:cs="TimesNewRoman"/>
          <w:kern w:val="0"/>
          <w:sz w:val="32"/>
          <w:szCs w:val="32"/>
        </w:rPr>
        <w:t>〔2024〕1号）</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eastAsia" w:ascii="TimesNewRoman" w:hAnsi="TimesNewRoman" w:eastAsia="仿宋_GB2312" w:cs="TimesNewRoman"/>
          <w:kern w:val="0"/>
          <w:sz w:val="32"/>
          <w:szCs w:val="32"/>
          <w:lang w:eastAsia="zh-CN"/>
        </w:rPr>
        <w:t>依据《</w:t>
      </w:r>
      <w:r>
        <w:rPr>
          <w:rFonts w:hint="eastAsia" w:ascii="TimesNewRoman" w:hAnsi="TimesNewRoman" w:eastAsia="仿宋_GB2312" w:cs="TimesNewRoman"/>
          <w:kern w:val="0"/>
          <w:sz w:val="32"/>
          <w:szCs w:val="32"/>
        </w:rPr>
        <w:t>自然资源部关于全面开展全民所有自然资源资产清查工作的通知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（自然资发〔2024〕127号）</w:t>
      </w:r>
      <w:r>
        <w:rPr>
          <w:rFonts w:hint="eastAsia" w:ascii="TimesNewRoman" w:hAnsi="TimesNewRoman" w:eastAsia="仿宋_GB2312" w:cs="TimesNewRoman"/>
          <w:kern w:val="0"/>
          <w:sz w:val="32"/>
          <w:szCs w:val="32"/>
          <w:lang w:eastAsia="zh-CN"/>
        </w:rPr>
        <w:t>及《安徽省自然资源厅关于印发安徽省全民所有自然资源资产清查实施方案的通知》</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皖自然资权</w:t>
      </w:r>
      <w:r>
        <w:rPr>
          <w:rFonts w:hint="eastAsia" w:ascii="TimesNewRoman" w:hAnsi="TimesNewRoman" w:eastAsia="仿宋_GB2312" w:cs="TimesNewRoman"/>
          <w:kern w:val="0"/>
          <w:sz w:val="32"/>
          <w:szCs w:val="32"/>
        </w:rPr>
        <w:t>〔2024〕1号）</w:t>
      </w:r>
      <w:r>
        <w:rPr>
          <w:rFonts w:hint="eastAsia" w:ascii="TimesNewRoman" w:hAnsi="TimesNewRoman" w:eastAsia="仿宋_GB2312" w:cs="TimesNewRoman"/>
          <w:kern w:val="0"/>
          <w:sz w:val="32"/>
          <w:szCs w:val="32"/>
          <w:lang w:eastAsia="zh-CN"/>
        </w:rPr>
        <w:t>等文件要求，为摸清全民所有自然资源资产家底，夯实自然资源资产管理基础，开展我市全民所有自然资源资产清查工作，在全市范围内全面开展全民所有土地、矿产、森林、草原等</w:t>
      </w:r>
      <w:r>
        <w:rPr>
          <w:rFonts w:hint="eastAsia" w:ascii="TimesNewRoman" w:hAnsi="TimesNewRoman" w:eastAsia="仿宋_GB2312" w:cs="TimesNewRoman"/>
          <w:kern w:val="0"/>
          <w:sz w:val="32"/>
          <w:szCs w:val="32"/>
          <w:lang w:val="en-US" w:eastAsia="zh-CN"/>
        </w:rPr>
        <w:t>4类自然资源资产清查，专项开展省属国有企业和省级行政事业单位国有土地资产清查。以习近平新时代中国特色社会主义思想为指导，深入贯彻学习习近平生态文明思想，落实“两统一”职责要求，推动建立我市资产清查制度，切实落实和维护所有者权益。主要项目内容包括完成资产清查省级价格体系的更新和完善；完成基准时点各类自然资源资产实物量清查、价值量核算以及专项清查，形成实物量图层、价值量图层；完成未确定使用权人国有建设用地清查；完成更新基准时点各类自然资源资产清查实物量及价值量成果，形成资产“一张图”，支撑统一履行所有者职责；定期开展全面资产清查和年度变动更新。积极运用全民自然资源资产清查结果，为2026年国有自然资源资产管理情况专项报告、全民所有自然资源资产负债表、领导干部自然资源资产离任审计等工作提供基础支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（6）年度预算安排。50万元。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淮北市全民所有自然资源资产清查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lang w:val="en-US" w:eastAsia="zh-CN"/>
              </w:rPr>
              <w:t>1</w:t>
            </w:r>
            <w:r>
              <w:rPr>
                <w:rFonts w:hint="eastAsia" w:ascii="宋体" w:eastAsia="宋体" w:cs="宋体"/>
                <w:sz w:val="20"/>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完善全民所有自然资源资产清查价格体系更新工作，全面清查各类全民所有自然资源资产的实物属性信息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全面核算各类全民所有自然资源资产价值量，理清使用权状况，形成“一张图”以及专题报告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内外业核查</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成果达到上报要求</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按时完成任务</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项目总成本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指标1：全市全民所有自然资源资产清查覆盖范围</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指标1：成果使用部门</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指标1：生态平衡维护</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指标1：成果使用年限</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指标1：工作认可度</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90%</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9、“三调数据库市级更新”项目。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（1）项目概述。按照“日常举证、季度汇总、年底更新”的原则，结合各类监测及自然资源管理成果，制作调查底图，组织实地调查举证，形成市级年度国土变更调查成果，全面掌握我市202</w:t>
      </w:r>
      <w:r>
        <w:rPr>
          <w:rFonts w:hint="default" w:ascii="TimesNewRoman" w:hAnsi="TimesNewRoman" w:eastAsia="仿宋_GB2312" w:cs="TimesNewRoman"/>
          <w:kern w:val="0"/>
          <w:sz w:val="32"/>
          <w:szCs w:val="32"/>
          <w:lang w:val="en" w:eastAsia="zh-CN"/>
        </w:rPr>
        <w:t>4</w:t>
      </w:r>
      <w:r>
        <w:rPr>
          <w:rFonts w:hint="eastAsia" w:ascii="TimesNewRoman" w:hAnsi="TimesNewRoman" w:eastAsia="仿宋_GB2312" w:cs="TimesNewRoman"/>
          <w:kern w:val="0"/>
          <w:sz w:val="32"/>
          <w:szCs w:val="32"/>
          <w:lang w:val="en-US" w:eastAsia="zh-CN"/>
        </w:rPr>
        <w:t>年度国土利用变化情况，保持第三次全国国土调查及其基础上开展的年度国土变更调查成果的现势性。</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2024年度全国国土变更调查工作的通知》（自然资办发〔2024〕44号)，《安徽省自然资源厅关于印发安徽省日常变更调查实施方案（试行）的通知》（皖自然资调〔2023〕1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 w:eastAsia="zh-CN"/>
        </w:rPr>
        <w:t>5</w:t>
      </w:r>
      <w:r>
        <w:rPr>
          <w:rFonts w:hint="eastAsia" w:ascii="TimesNewRoman" w:hAnsi="TimesNewRoman" w:eastAsia="仿宋_GB2312" w:cs="TimesNewRoman"/>
          <w:kern w:val="0"/>
          <w:sz w:val="32"/>
          <w:szCs w:val="32"/>
          <w:lang w:val="en-US" w:eastAsia="zh-CN"/>
        </w:rPr>
        <w:t>.12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2024年度全国国土变更调查工作的通知》（自然资办发〔2024〕44号)，《安徽省自然资源厅关于印发安徽省日常变更调查实施方案（试行）的通知》（皖自然资调〔2023〕1号），按照“日常举证、季度汇总、年底更新”的原则，结合各类监测及自然资源管理成果，制作调查底图，组织实地调查举证，形成市级年度国土变更调查成果，全面掌握我市2024年度国土利用变化情况，保持第三次全国国土调查及其基础上开展的年度国土变更调查成果的现势性。根据时间节点要求完成各项调查任务，将日常变更调查与年度国土变更调查工作进行有效衔接，汇总形成年度国土变更调查成果并按要求通过省、部级质量检查。</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（6）年度预算安排。19.5万元。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三调数据库市级更新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 w:eastAsia="zh-CN"/>
              </w:rPr>
            </w:pPr>
            <w:r>
              <w:rPr>
                <w:rFonts w:hint="default" w:ascii="宋体" w:cs="宋体"/>
                <w:sz w:val="20"/>
                <w:lang w:val="en"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根据时间节点要求完成各项调查任务，将日常变更调查与年度国土变更调查工作进行有效衔接，汇总形成年度国土变更调查成果并按要求通过省、部级质量检查。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指标1：完成县区核查个数</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指标1：完成时间超出国家规定天数</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w:t>
            </w:r>
            <w:r>
              <w:rPr>
                <w:rFonts w:hint="eastAsia" w:ascii="宋体" w:hAnsi="宋体" w:cs="宋体"/>
                <w:color w:val="000000"/>
                <w:kern w:val="0"/>
                <w:sz w:val="20"/>
                <w:szCs w:val="20"/>
                <w:lang w:eastAsia="zh-CN"/>
              </w:rPr>
              <w:t>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提高土地利用率，减少违规用地带来的经济损失。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指标1：规范用地秩序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查清土地利用现状，维护用地秩序和社会公平。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为生态红线划定、工矿用地建设复垦等提供服务。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为农、林、水等部门提供详实的基础数据，为国民经济健康发展提供有力保障。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指标1：满足耕保、执法等工作的管理需要</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10、“城市国土空间监测”项目。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（1）项目概述。以2023年度国土变更调查成果为底图，依据2024年高分辨率遥感影像和最新的相关专题资料，结合实地调查等工作，掌握城市建设总量、用地结构、基础设施和服务功能等情况。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（2）立项依据。《自然资源部办公厅关于开展2024年城市国土空间监测工作的通知》（自然资办发〔2024〕20号）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 w:eastAsia="zh-CN"/>
        </w:rPr>
        <w:t>5</w:t>
      </w:r>
      <w:r>
        <w:rPr>
          <w:rFonts w:hint="eastAsia" w:ascii="TimesNewRoman" w:hAnsi="TimesNewRoman" w:eastAsia="仿宋_GB2312" w:cs="TimesNewRoman"/>
          <w:kern w:val="0"/>
          <w:sz w:val="32"/>
          <w:szCs w:val="32"/>
          <w:lang w:val="en-US" w:eastAsia="zh-CN"/>
        </w:rPr>
        <w:t>.12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2024年城市国土空间监测工作的通知》（自然资办发〔2024〕20号），以2023年度国土变更调查成果为底图，依据2024年高分辨率遥感影像和最新的相关专题资料，结合实地调查等工作，掌握城市建设总量、用地结构、基础设施和服务功能等情况。将2023年城市国土空间监测数据中相关监测要素的现势性更新到2024年，完善新增监测要素的采集核实工作，汇总形成2024年度城市国土空间监测的基础成果、统计成果、分析成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（6）年度预算安排。48万元。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三调数据库市级更新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将2023年城市国土空间监测数据中相关监测要素的现势性更新到2024年，完善新增监测要素的采集核实工作，汇总形成2024年度城市国土空间监测的基础成果、统计成果、分析成果。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指标1：完成监测成果生产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指标1：完成时间超出国家规定天数</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w:t>
            </w:r>
            <w:r>
              <w:rPr>
                <w:rFonts w:hint="eastAsia" w:ascii="宋体" w:hAnsi="宋体" w:cs="宋体"/>
                <w:color w:val="000000"/>
                <w:kern w:val="0"/>
                <w:sz w:val="20"/>
                <w:szCs w:val="20"/>
                <w:lang w:eastAsia="zh-CN"/>
              </w:rPr>
              <w:t>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为政府相关职能部门决策提供支持，减少因政策不合理带来的经济损失。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指标1：为社会提供支持</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为社会提供地理信息服务，对交通、规划等行业支持。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按照需求开展要素属性变化监测，分析生态环境趋势。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对城市空间格局变化等进行监测。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指标1：满足规划、测绘等工作的管理需要</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11、“淮北市矿山调查监测项目”。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（1）项目概述。通过公开招标确定服务单位，对我市矿山（14家在生产煤矿、6家金属矿、1家高岭土矿、5家露采石料矿，约 26家）开展储量年报核查（另外年中核查提供全市矿产资源储量利用数据）及绿色矿山建设现场复核、指导、第三方评估。 1)储量年报核查工作。根据《矿产资源统计管理办法》、《安徽省自然资源厅转发自然资源部办公厅关于规范矿山储量年度报告管理的通知》(皖自然资矿保函〔2021〕4号)要求，开展实地测量，其中露采矿山应覆盖全矿界，井采矿山每年至少两次深入采场，及时根据井采采掘变化、跳采、填充、封填情况增加井下测量次数，井采矿山现状测量应深入井下采场，合理布设测量点位，确保测量点数满足工作需求，绘制开采现状图，估算资源量消耗情况，判定矿山储量年报编制的完整性、准确性、真实性，如实反映矿山提交的储量年报编制上存在不足以及矿山开采过程中存在的各类违法违规问题（包括“三率”不达指标、未按照批准的采矿权范围、开采方式、开采矿种组织开采、超核定产能开采及市级管理的矿山超层越界核查等），同时提出合理化建议。并按照编制要求将核查情况汇编成册，提交核查成果资料。另外年中核查提供全市矿产资源储量利用数据。中标单位自合同签订之日起每年 3月 1 日和 7月 20日，完成淮北市年度矿山储量年报（预计共26家）核查工作，并提交成果资料。2)绿色矿山建设工作。按照相关要求，承担淮北市约 26家绿色矿山建设现场复核、指导、第三方评估等工作。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矿产资源统计管理办法》、《安徽省自然资源厅转发自然资源部办公厅关于规范矿山储量年度报告管理的通知》(皖自然资矿保函〔2021〕4号)、《安徽省人民政府办公厅关于印发加强矿山全生命周期管理若干措施的通知》(皖政办〔2024〕6号)、《关于近一步加强绿色矿山建设的通知》(自然资规〔2024〕1号)、安徽省自然资源厅关于下达采矿权实地勘测定界和超层越界开采动态监测任务的通知（皖自然资矿权函〔2023〕26号）、市政府领导要求。</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为进一步加强矿产资源统计管理、矿山全生命周期管理，促进矿业权人诚信自律，规范矿业权人勘查开采信息公示，保证矿山储量利用客观真实，强化信用约束，提高政府监管效能，根据市政府领导要求，我局需公开招标第三方机构对全市生产矿山开展矿山调查监测，对我市矿山（14家在生产煤矿、6家金属矿、1家高岭土矿、5家露采石料矿，约 26家）开展储量年报核查（另外年中核查提供全市矿产资源储量利用数据）及绿色矿山建设现场复核、指导、第三方评估。</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（6）年度预算安排。100万元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lang w:val="en-US" w:eastAsia="zh-CN"/>
              </w:rPr>
              <w:t>淮北市矿山调查监测项目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中标单位自合同签订之日起每年 3月 1 日和 7月 20日，完成淮北市年度矿山储量年报（预计共26家）核查工作，并提交成果资料。按照相关要求，承担淮北市约 26家绿色矿山建设现场复核、指导、第三方评估等工作。矿山开采过程中存在的各类违法违规问题（包括“三率”不达指标、未按照批准的采矿权范围、开采方式、开采矿种组织开采、超核定产能开采及市级管理的矿山超层越界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指标1：调查监测矿山家数</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default" w:ascii="Arial" w:hAnsi="Arial" w:cs="Arial"/>
                <w:color w:val="000000"/>
                <w:kern w:val="0"/>
                <w:sz w:val="20"/>
                <w:szCs w:val="20"/>
                <w:lang w:val="en-US" w:eastAsia="zh-CN"/>
              </w:rPr>
              <w:t>≤</w:t>
            </w:r>
            <w:r>
              <w:rPr>
                <w:rFonts w:hint="eastAsia" w:ascii="宋体" w:hAnsi="宋体" w:cs="宋体"/>
                <w:color w:val="000000"/>
                <w:kern w:val="0"/>
                <w:sz w:val="20"/>
                <w:szCs w:val="20"/>
                <w:lang w:val="en-US" w:eastAsia="zh-CN"/>
              </w:rPr>
              <w:t>26家</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指标1：项目验收合格率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default" w:ascii="Arial" w:hAnsi="Arial" w:cs="Arial"/>
                <w:color w:val="000000"/>
                <w:kern w:val="0"/>
                <w:sz w:val="20"/>
                <w:szCs w:val="20"/>
                <w:lang w:val="en-US" w:eastAsia="zh-CN"/>
              </w:rPr>
              <w:t>≥</w:t>
            </w:r>
            <w:r>
              <w:rPr>
                <w:rFonts w:hint="eastAsia" w:ascii="宋体" w:hAnsi="宋体" w:cs="宋体"/>
                <w:color w:val="000000"/>
                <w:kern w:val="0"/>
                <w:sz w:val="20"/>
                <w:szCs w:val="20"/>
                <w:lang w:val="en-US" w:eastAsia="zh-CN"/>
              </w:rPr>
              <w:t>90%</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指标1：项目按时完成时间</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=2025年</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指标1：项目投入总成本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default" w:ascii="Arial" w:hAnsi="Arial" w:cs="Arial"/>
                <w:color w:val="000000"/>
                <w:kern w:val="0"/>
                <w:sz w:val="20"/>
                <w:szCs w:val="20"/>
                <w:lang w:eastAsia="zh-CN"/>
              </w:rPr>
              <w:t>≤</w:t>
            </w:r>
            <w:r>
              <w:rPr>
                <w:rFonts w:hint="eastAsia" w:ascii="宋体" w:hAnsi="宋体" w:cs="宋体"/>
                <w:color w:val="000000"/>
                <w:kern w:val="0"/>
                <w:sz w:val="20"/>
                <w:szCs w:val="20"/>
                <w:lang w:val="en-US" w:eastAsia="zh-CN"/>
              </w:rPr>
              <w:t>100万元</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指标1：规范矿产资源监督管理</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规范矿业权人勘查开采信息公示，保证矿山储量利用客观真实，超层越界等违规查处，保证经济稳定发展。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指标1：为政府提供决策依据</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为政府提供真实可靠数据，稳定社会发展。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指标1：绿色矿山建设</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促进绿色生态发展。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指标1：加强矿产资源统计管理、矿山全生命周期管理</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促进矿产资源可持续利用，矿山行业可持续发展。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default" w:ascii="Arial" w:hAnsi="Arial" w:cs="Arial"/>
                <w:color w:val="000000"/>
                <w:kern w:val="0"/>
                <w:sz w:val="20"/>
                <w:szCs w:val="20"/>
                <w:lang w:eastAsia="zh-CN"/>
              </w:rPr>
              <w:t>≤</w:t>
            </w:r>
            <w:r>
              <w:rPr>
                <w:rFonts w:hint="eastAsia" w:ascii="宋体" w:hAnsi="宋体" w:cs="宋体"/>
                <w:color w:val="000000"/>
                <w:kern w:val="0"/>
                <w:sz w:val="20"/>
                <w:szCs w:val="20"/>
                <w:lang w:val="en-US" w:eastAsia="zh-CN"/>
              </w:rPr>
              <w:t>100%</w:t>
            </w:r>
            <w:r>
              <w:rPr>
                <w:rFonts w:hint="eastAsia" w:ascii="宋体" w:hAnsi="宋体" w:eastAsia="宋体" w:cs="宋体"/>
                <w:color w:val="000000"/>
                <w:kern w:val="0"/>
                <w:sz w:val="20"/>
                <w:szCs w:val="20"/>
              </w:rPr>
              <w:t>。</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12、“土地矿产测量费”项目。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（1）项目概述。</w:t>
      </w:r>
      <w:r>
        <w:rPr>
          <w:rFonts w:hint="eastAsia" w:ascii="TimesNewRoman" w:hAnsi="TimesNewRoman" w:eastAsia="仿宋_GB2312" w:cs="TimesNewRoman"/>
          <w:kern w:val="0"/>
          <w:sz w:val="32"/>
          <w:szCs w:val="32"/>
        </w:rPr>
        <w:t>对违法、违规用地、矿业卫星遥感监测图片、监测点测绘并制作坐标做为执法数据依据须交由中介机构勘测制作，出具宗地图及套盒图；对矿产资源违法案件测量，涉嫌破坏矿产资源需进行鉴定。</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依据《矿产资源法》、《行政处罚法》、《最高人民法院关于审理非法采矿、破坏性采矿刑事案件具体应用法律若干问题的解释》、《非法采矿、破坏性采矿造成矿产资源破坏价值鉴定程序的规定》（国土资源发【2005】175号）、《国土资源违法行为查处工作规程》及有关规定。国土资发﹝2010﹞21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（5）项目内容。</w:t>
      </w:r>
      <w:r>
        <w:rPr>
          <w:rFonts w:hint="eastAsia" w:ascii="TimesNewRoman" w:hAnsi="TimesNewRoman" w:eastAsia="仿宋_GB2312" w:cs="TimesNewRoman"/>
          <w:kern w:val="0"/>
          <w:sz w:val="32"/>
          <w:szCs w:val="32"/>
        </w:rPr>
        <w:t>对违法、违规用地、矿业卫星遥感监测图片、监测点测绘并制作坐标做为执法数据依据须交由中介机构勘测制作，出具宗地图及套盒图；对矿产资源违法案件测量，涉嫌破坏矿产资源需进行鉴定。</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土地矿产测量费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对符合立案条件的全部进行查处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指标1：土地矿产测量的面积</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≤220平方千米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指标1：项目完成质量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土地矿产测量全部达到测量技术规范和执法案件查处要求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指标1：项目完成时间</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指标1：项目支出成本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违法行为得到及时制止和查处，管理秩序不断规范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指标1：项目社会效益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让违法者得到应有的处罚，进一步规范全市国土资源管理秩序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乱占耕地违法行为明显减少，破坏矿产资源行为基本杜绝，生态环境明显改善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指标1：项目可持续影响</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违法行为有效遏制，管理秩序不断规范，市场环境得到净化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100</w:t>
            </w:r>
            <w:r>
              <w:rPr>
                <w:rFonts w:hint="eastAsia" w:ascii="宋体" w:hAnsi="宋体" w:cs="宋体"/>
                <w:color w:val="000000"/>
                <w:kern w:val="0"/>
                <w:sz w:val="20"/>
                <w:szCs w:val="20"/>
                <w:lang w:val="en-US" w:eastAsia="zh-CN"/>
              </w:rPr>
              <w:t>%</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淮北市城市地上人工建（构）筑物模型快速构建项目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 xml:space="preserve"> </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（1）项目概述。淮北市城市地上人工建（构）筑物模型快速构建项目主要针对淮北市城镇开发边界范围内城市建筑物和部分构筑物开展单体模型数据生产。</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（2）立项依据。中共中央、国务院印发 《数字中国建设整体布局规划》</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《安徽省自然资源厅关于印发安徽省2024年测绘地理信息管理工作要点的通知》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自然资发[2023]158号 《自然资源部关于加快测绘地理信息事业转型升级 更好支撑高质量发展的意见》</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2025</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-2025</w:t>
      </w:r>
      <w:r>
        <w:rPr>
          <w:rFonts w:hint="eastAsia" w:ascii="TimesNewRoman" w:hAnsi="TimesNewRoman" w:eastAsia="仿宋_GB2312" w:cs="TimesNewRoman"/>
          <w:kern w:val="0"/>
          <w:sz w:val="32"/>
          <w:szCs w:val="32"/>
          <w:lang w:val="en-US" w:eastAsia="zh-CN"/>
        </w:rPr>
        <w:t>.12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（5）项目内容。淮北市城市地上人工建（构）筑物模型快速构建项目主要针对淮北市城镇开发边界范围内城市建筑物和部分构筑物开展单体模型数据生产。</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26.9</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cs="宋体"/>
                <w:sz w:val="20"/>
              </w:rPr>
              <w:t>淮北市实景三维中国建设项目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jc w:val="center"/>
              <w:rPr>
                <w:rFonts w:hint="eastAsia" w:ascii="宋体" w:cs="宋体"/>
                <w:sz w:val="20"/>
              </w:rPr>
            </w:pPr>
            <w:r>
              <w:rPr>
                <w:rFonts w:hint="eastAsia" w:ascii="宋体" w:cs="宋体"/>
                <w:sz w:val="20"/>
              </w:rPr>
              <w:t>项目期</w:t>
            </w:r>
          </w:p>
        </w:tc>
        <w:tc>
          <w:tcPr>
            <w:tcW w:w="2380" w:type="dxa"/>
            <w:noWrap w:val="0"/>
            <w:vAlign w:val="center"/>
          </w:tcPr>
          <w:p>
            <w:pPr>
              <w:jc w:val="center"/>
              <w:rPr>
                <w:rFonts w:hint="eastAsia"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default" w:ascii="宋体" w:eastAsia="宋体" w:cs="宋体"/>
                <w:color w:val="auto"/>
                <w:sz w:val="20"/>
                <w:lang w:val="en-US" w:eastAsia="zh-CN"/>
              </w:rPr>
            </w:pPr>
            <w:r>
              <w:rPr>
                <w:rFonts w:hint="eastAsia" w:ascii="宋体" w:cs="宋体"/>
                <w:color w:val="auto"/>
                <w:sz w:val="20"/>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hint="default" w:ascii="宋体" w:eastAsia="宋体" w:cs="宋体"/>
                <w:color w:val="auto"/>
                <w:sz w:val="20"/>
                <w:lang w:val="en-US" w:eastAsia="zh-CN"/>
              </w:rPr>
            </w:pPr>
            <w:r>
              <w:rPr>
                <w:rFonts w:hint="eastAsia" w:ascii="宋体" w:cs="宋体"/>
                <w:color w:val="auto"/>
                <w:sz w:val="20"/>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eastAsia"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cs="宋体"/>
                <w:sz w:val="20"/>
              </w:rPr>
            </w:pPr>
            <w:r>
              <w:rPr>
                <w:rFonts w:hint="eastAsia" w:ascii="宋体" w:hAnsi="宋体" w:cs="宋体"/>
                <w:color w:val="000000"/>
                <w:kern w:val="0"/>
                <w:sz w:val="20"/>
                <w:szCs w:val="20"/>
              </w:rPr>
              <w:t>完成淮北市城镇开发边界范围内200平方千米城市建筑物和部分构筑物单体模型数据生产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指标1：城镇开发边界</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≥200</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指标1：验收合格</w:t>
            </w:r>
          </w:p>
        </w:tc>
        <w:tc>
          <w:tcPr>
            <w:tcW w:w="4228" w:type="dxa"/>
            <w:gridSpan w:val="2"/>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数据通过省质检站质检合格。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指标1：按计划完成项目数据生产</w:t>
            </w:r>
          </w:p>
        </w:tc>
        <w:tc>
          <w:tcPr>
            <w:tcW w:w="4228" w:type="dxa"/>
            <w:gridSpan w:val="2"/>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指标1：项目成本</w:t>
            </w:r>
          </w:p>
        </w:tc>
        <w:tc>
          <w:tcPr>
            <w:tcW w:w="4228" w:type="dxa"/>
            <w:gridSpan w:val="2"/>
            <w:noWrap w:val="0"/>
            <w:vAlign w:val="center"/>
          </w:tcPr>
          <w:p>
            <w:pPr>
              <w:jc w:val="left"/>
              <w:rPr>
                <w:rFonts w:hint="default" w:ascii="宋体" w:hAnsi="宋体" w:cs="宋体"/>
                <w:color w:val="FF0000"/>
                <w:kern w:val="0"/>
                <w:sz w:val="20"/>
                <w:szCs w:val="20"/>
                <w:lang w:val="en-US"/>
              </w:rPr>
            </w:pPr>
            <w:r>
              <w:rPr>
                <w:rFonts w:hint="eastAsia" w:ascii="宋体" w:hAnsi="宋体" w:cs="宋体"/>
                <w:color w:val="auto"/>
                <w:kern w:val="0"/>
                <w:sz w:val="20"/>
                <w:szCs w:val="20"/>
                <w:lang w:val="en-US" w:eastAsia="zh-CN"/>
              </w:rPr>
              <w:t>≤26.9万元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指标1：项目经济效益</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更好地挖掘数据资源、信息经济的潜在价值及优势。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指标1：项目社会效益</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推进自然资源信息对社会开放共享，满足经济发展需求。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指标1：项目社会效益</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指标1：项目社会效益</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对内支撑资源和规划等业务支撑，对外可提供基础地理信息服务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指标1：市民满意度</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提升市民满意度。</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165.22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10.39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5.92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人员退休</w:t>
      </w:r>
      <w:r>
        <w:rPr>
          <w:rFonts w:hint="eastAsia" w:ascii="TimesNewRoman" w:hAnsi="TimesNewRoman" w:eastAsia="仿宋_GB2312" w:cs="TimesNewRoman"/>
          <w:kern w:val="0"/>
          <w:sz w:val="32"/>
          <w:szCs w:val="32"/>
          <w:highlight w:val="none"/>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457.32</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67.32</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390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875.52</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400000000000000"/>
    <w:charset w:val="00"/>
    <w:family w:val="auto"/>
    <w:pitch w:val="default"/>
    <w:sig w:usb0="00000000" w:usb1="00000000" w:usb2="00000000" w:usb3="00000000" w:csb0="00000001"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13B1F7C"/>
    <w:rsid w:val="023B7ED7"/>
    <w:rsid w:val="03944DD5"/>
    <w:rsid w:val="05740D0A"/>
    <w:rsid w:val="099B1C1B"/>
    <w:rsid w:val="0B672526"/>
    <w:rsid w:val="0D4713DF"/>
    <w:rsid w:val="0D983AE4"/>
    <w:rsid w:val="0DA03F51"/>
    <w:rsid w:val="0E846C7A"/>
    <w:rsid w:val="0FF8226E"/>
    <w:rsid w:val="12E77558"/>
    <w:rsid w:val="13B715E5"/>
    <w:rsid w:val="17EF1B26"/>
    <w:rsid w:val="186D6AEA"/>
    <w:rsid w:val="19F856FC"/>
    <w:rsid w:val="1A7A25F1"/>
    <w:rsid w:val="1ACE51B7"/>
    <w:rsid w:val="1C4F5A59"/>
    <w:rsid w:val="1D1C1F4F"/>
    <w:rsid w:val="1DB0635D"/>
    <w:rsid w:val="1DB170D7"/>
    <w:rsid w:val="1E815855"/>
    <w:rsid w:val="1EE3514A"/>
    <w:rsid w:val="204F2DBE"/>
    <w:rsid w:val="25F0505F"/>
    <w:rsid w:val="272A6D69"/>
    <w:rsid w:val="279C22B0"/>
    <w:rsid w:val="28D77FD3"/>
    <w:rsid w:val="2C566306"/>
    <w:rsid w:val="2CE0583E"/>
    <w:rsid w:val="2EAB5E20"/>
    <w:rsid w:val="2EBB7D51"/>
    <w:rsid w:val="2FFB6581"/>
    <w:rsid w:val="301F4584"/>
    <w:rsid w:val="3073422C"/>
    <w:rsid w:val="3225595B"/>
    <w:rsid w:val="32A32AB6"/>
    <w:rsid w:val="3313105B"/>
    <w:rsid w:val="33932C8D"/>
    <w:rsid w:val="35A763DE"/>
    <w:rsid w:val="38870DB8"/>
    <w:rsid w:val="39CC22BA"/>
    <w:rsid w:val="3C1F1891"/>
    <w:rsid w:val="3C6B6A68"/>
    <w:rsid w:val="3D241906"/>
    <w:rsid w:val="3E37242B"/>
    <w:rsid w:val="3E9C1699"/>
    <w:rsid w:val="40231261"/>
    <w:rsid w:val="4175028E"/>
    <w:rsid w:val="41DA01F2"/>
    <w:rsid w:val="455C4288"/>
    <w:rsid w:val="462A30A2"/>
    <w:rsid w:val="46915F46"/>
    <w:rsid w:val="48230D1D"/>
    <w:rsid w:val="4961592B"/>
    <w:rsid w:val="4DCD4E2B"/>
    <w:rsid w:val="4E8A18C9"/>
    <w:rsid w:val="4F197B6E"/>
    <w:rsid w:val="4F5B01EC"/>
    <w:rsid w:val="4FD33554"/>
    <w:rsid w:val="51DA1FC6"/>
    <w:rsid w:val="52776852"/>
    <w:rsid w:val="528F073F"/>
    <w:rsid w:val="52BA15BD"/>
    <w:rsid w:val="53A15B5A"/>
    <w:rsid w:val="53D574DA"/>
    <w:rsid w:val="549C683A"/>
    <w:rsid w:val="556179C8"/>
    <w:rsid w:val="55A62B95"/>
    <w:rsid w:val="560F5195"/>
    <w:rsid w:val="5858400B"/>
    <w:rsid w:val="5CC9762D"/>
    <w:rsid w:val="5DEB3CAA"/>
    <w:rsid w:val="5F3F36DF"/>
    <w:rsid w:val="61483EDA"/>
    <w:rsid w:val="615D5A8A"/>
    <w:rsid w:val="61BF0DCA"/>
    <w:rsid w:val="620E0F1B"/>
    <w:rsid w:val="62F12B55"/>
    <w:rsid w:val="63EC24FA"/>
    <w:rsid w:val="64075A35"/>
    <w:rsid w:val="640C561D"/>
    <w:rsid w:val="66225BA5"/>
    <w:rsid w:val="66DE1BE1"/>
    <w:rsid w:val="6AF55CBB"/>
    <w:rsid w:val="6B136600"/>
    <w:rsid w:val="6B6D472F"/>
    <w:rsid w:val="6E880960"/>
    <w:rsid w:val="6FCF636D"/>
    <w:rsid w:val="700C62B1"/>
    <w:rsid w:val="70DE1F1D"/>
    <w:rsid w:val="73D80F45"/>
    <w:rsid w:val="73DB6104"/>
    <w:rsid w:val="785A4FDC"/>
    <w:rsid w:val="7AC27AD0"/>
    <w:rsid w:val="7B5D0740"/>
    <w:rsid w:val="7C4D11EA"/>
    <w:rsid w:val="7D043D64"/>
    <w:rsid w:val="7E0E7ECF"/>
    <w:rsid w:val="7F2C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5782</Words>
  <Characters>6265</Characters>
  <Lines>48</Lines>
  <Paragraphs>13</Paragraphs>
  <TotalTime>0</TotalTime>
  <ScaleCrop>false</ScaleCrop>
  <LinksUpToDate>false</LinksUpToDate>
  <CharactersWithSpaces>6376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2025-08-15T03:22:56Z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2052-11.8.2.8808</vt:lpwstr>
  </property>
  <property fmtid="{D5CDD505-2E9C-101B-9397-08002B2CF9AE}" pid="4" name="ICV">
    <vt:lpwstr>EA8F26CB3E6946638B6B6B4728C642E4_12</vt:lpwstr>
  </property>
</Properties>
</file>