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淮北市自然资源和规划局相山分局2025年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3、淮北市自然资源和规划局相山分局2025年支出总表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4、淮北市自然资源和规划局相山分局2025年财政拨款收支总表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5、淮北市自然资源和规划局相山分局2025年一般公共预算支出表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6、淮北市自然资源和规划局相山分局2025年一般公共预算基本支出表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7、淮北市自然资源和规划局相山分局2025年政府性基金预算支出表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8、淮北市自然资源和规划局相山分局2025年国有资本经营预算支出表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9、淮北市自然资源和规划局相山分局2025年项目支出表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10、淮北市自然资源和规划局相山分局2025年政府采购支出表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11、淮北市自然资源和规划局相山分局2025年政府购买服务支出表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12、淮北市自然资源和规划局相山分局</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黑体" w:cs="TimesNewRoman"/>
          <w:color w:val="FF0000"/>
          <w:sz w:val="32"/>
          <w:szCs w:val="32"/>
        </w:rPr>
      </w:pPr>
      <w:r>
        <w:rPr>
          <w:rFonts w:hint="eastAsia" w:ascii="TimesNewRoman" w:hAnsi="TimesNewRoman" w:eastAsia="仿宋_GB2312" w:cs="TimesNewRoman"/>
          <w:bCs/>
          <w:sz w:val="32"/>
          <w:szCs w:val="32"/>
        </w:rPr>
        <w:t>12、</w:t>
      </w:r>
      <w:r>
        <w:rPr>
          <w:rFonts w:ascii="TimesNewRoman" w:hAnsi="TimesNewRoman" w:eastAsia="黑体" w:cs="TimesNewRoman"/>
          <w:color w:val="000000" w:themeColor="text1"/>
          <w:sz w:val="32"/>
          <w:szCs w:val="32"/>
        </w:rPr>
        <w:t>关于</w:t>
      </w:r>
      <w:r>
        <w:rPr>
          <w:rFonts w:hint="eastAsia" w:ascii="TimesNewRoman" w:hAnsi="TimesNewRoman" w:eastAsia="黑体" w:cs="TimesNewRoman"/>
          <w:color w:val="000000" w:themeColor="text1"/>
          <w:sz w:val="32"/>
          <w:szCs w:val="32"/>
        </w:rPr>
        <w:t>2025</w:t>
      </w:r>
      <w:r>
        <w:rPr>
          <w:rFonts w:ascii="TimesNewRoman" w:hAnsi="TimesNewRoman" w:eastAsia="黑体" w:cs="TimesNewRoman"/>
          <w:color w:val="000000" w:themeColor="text1"/>
          <w:sz w:val="32"/>
          <w:szCs w:val="32"/>
        </w:rPr>
        <w:t>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1、淮北市自然资源和规划局相山分局2025年部门预算纳入绩效考评项目表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2、淮北市自然资源和规划局相山分局2025年部门预算专项资金管理清单（专栏公开）</w:t>
      </w:r>
    </w:p>
    <w:p>
      <w:pPr>
        <w:pStyle w:val="6"/>
        <w:adjustRightInd w:val="0"/>
        <w:snapToGrid w:val="0"/>
        <w:spacing w:line="400" w:lineRule="exact"/>
        <w:ind w:firstLine="800" w:firstLineChars="250"/>
        <w:rPr>
          <w:rFonts w:ascii="TimesNewRoman" w:hAnsi="TimesNewRoman" w:eastAsia="仿宋_GB2312" w:cs="TimesNewRoman"/>
          <w:bCs/>
          <w:sz w:val="32"/>
          <w:szCs w:val="32"/>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，淮北市自然资源和规划局相山分局主要职责是：</w:t>
      </w:r>
    </w:p>
    <w:p>
      <w:pPr>
        <w:spacing w:line="56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淮北市自然资源和规划局相山分局</w:t>
      </w:r>
      <w:r>
        <w:rPr>
          <w:rFonts w:hint="eastAsia" w:ascii="TimesNewRoman" w:hAnsi="TimesNewRoman" w:eastAsia="仿宋_GB2312" w:cs="TimesNewRoman"/>
          <w:sz w:val="32"/>
          <w:szCs w:val="32"/>
        </w:rPr>
        <w:t>2025年度部门预算仅包括局本级预算，无其他下属单位预算。</w:t>
      </w:r>
    </w:p>
    <w:p>
      <w:pPr>
        <w:pStyle w:val="6"/>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三、2025年度主要工作任务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（一）、认真贯彻落实习近平总书记重要指示批示精神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认真学习贯彻《习近平关于自然资源工作论述摘编》，与学习贯彻习近平生态文明思想、习近平经济思想、习近平总书记考察安徽重要讲话精神相结合。通过集中学习、研讨交流、专家解读等方式，深入学习习近平总书记的重要指示批示精神，准确把握其核心要义、精神实质和实践要求，确保在思想上、政治上、行动上与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（二）严格开展耕地保护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严守耕地保护红线，加强耕地保护全链条监管。严格耕地保护责任考核，落实耕地保护主体责任。一是严格落实占补平衡。2025年各类用地占用耕地的严格遵守“占多少补多少、占优补优”、“自行补充为主、异地补充为辅”的原则。二是压实耕地保护责任。根据相山区2024年变更调查最终数据，将耕地和永久基本农田保护任务分解下达到镇、办事处，作为其耕地保护目标考核的依据。三是加大流失耕地找回力度。继续加大历史遗留及2024年变更调查流失耕地找回力度，镇（街）整改完成一块现场核实一块，完成整改的实行销号，未完成的及时跟踪调度。四是加大2025年新增耕地复垦力度。3月底前摸排完成2025年新增耕地复垦潜力，按照“大占补”政策要求，督促有复垦潜力的镇（街），尽早尽快开展新增耕地复垦工作。同时加大与农业农村部门配合，按照“量质并重”的原则，做好新增耕地项目验收工作。五是加强耕地执法巡查。加大日常耕地保护巡查力度，同时结合季度卫片、镇级巡查、村级巡查，实现耕地执法巡查常态化，多样化。做到早发现、早上报、早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（三）持续推进土地节约集约利用综合改革试点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坚持控总量、优增量、盘存量、提质量，实施土地节约集约利用改革2.0版，推动相山开发区提高工业用地容积率。推动相山开发区土地节约集约评价争先进位。聚焦入园企业降本增效，规范建设用地开发利用，推动园区用地混合复合利用、分割转让。到2025年底，全面完成各项改革任务，收官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严格“增减挂钩”，规范供后监管，最大限度减少新增批而未供、闲置和工业低效用地。锚定年度任务，加大批而未供处置力度，引导项目优先使用。加大闲置用地处置力度，重点处置市建投171亩闲置地块，完成年度任务。强化供后监管，完善项目开竣工巡查机制，及时预警、督促用地单位尽快开工，坚决预防新增闲置土地。完成城镇低效用地再开发任务</w:t>
      </w:r>
      <w:r>
        <w:rPr>
          <w:rFonts w:hint="eastAsia" w:ascii="TimesNewRoman" w:hAnsi="TimesNewRoman" w:eastAsia="仿宋_GB2312" w:cs="TimesNew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（四）稳定进行土地收储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根据市政府下达相山区2025年度土地储备及出让计划的任务（相山区2025年度拟收储及招拍挂计划出让土地约1921.2亩），按照“让前必储”</w:t>
      </w:r>
      <w:r>
        <w:rPr>
          <w:rFonts w:hint="eastAsia" w:ascii="TimesNewRoman" w:hAnsi="TimesNewRoman" w:eastAsia="仿宋_GB2312" w:cs="TimesNewRoman"/>
          <w:kern w:val="0"/>
          <w:sz w:val="32"/>
          <w:szCs w:val="32"/>
          <w:lang w:val="en-US" w:eastAsia="zh-CN" w:bidi="ar-SA"/>
        </w:rPr>
        <w:t>、</w:t>
      </w:r>
      <w:r>
        <w:rPr>
          <w:rFonts w:hint="default" w:ascii="TimesNewRoman" w:hAnsi="TimesNewRoman" w:eastAsia="仿宋_GB2312" w:cs="TimesNewRoman"/>
          <w:kern w:val="0"/>
          <w:sz w:val="32"/>
          <w:szCs w:val="32"/>
          <w:lang w:val="en-US" w:eastAsia="zh-CN" w:bidi="ar-SA"/>
        </w:rPr>
        <w:t>“净地”储备的工作机制。坚持问题导向，对</w:t>
      </w:r>
      <w:r>
        <w:rPr>
          <w:rFonts w:hint="eastAsia" w:ascii="TimesNewRoman" w:hAnsi="TimesNewRoman" w:eastAsia="仿宋_GB2312" w:cs="TimesNewRoman"/>
          <w:kern w:val="0"/>
          <w:sz w:val="32"/>
          <w:szCs w:val="32"/>
          <w:lang w:val="en-US" w:eastAsia="zh-CN" w:bidi="ar-SA"/>
        </w:rPr>
        <w:t>待出让</w:t>
      </w:r>
      <w:r>
        <w:rPr>
          <w:rFonts w:hint="default" w:ascii="TimesNewRoman" w:hAnsi="TimesNewRoman" w:eastAsia="仿宋_GB2312" w:cs="TimesNewRoman"/>
          <w:kern w:val="0"/>
          <w:sz w:val="32"/>
          <w:szCs w:val="32"/>
          <w:lang w:val="en-US" w:eastAsia="zh-CN" w:bidi="ar-SA"/>
        </w:rPr>
        <w:t>地块中存在的拆迁、权属等问题进行摸底，</w:t>
      </w:r>
      <w:r>
        <w:rPr>
          <w:rFonts w:hint="eastAsia" w:ascii="TimesNewRoman" w:hAnsi="TimesNewRoman" w:eastAsia="仿宋_GB2312" w:cs="TimesNewRoman"/>
          <w:kern w:val="0"/>
          <w:sz w:val="32"/>
          <w:szCs w:val="32"/>
          <w:lang w:val="en-US" w:eastAsia="zh-CN" w:bidi="ar-SA"/>
        </w:rPr>
        <w:t>并将</w:t>
      </w:r>
      <w:r>
        <w:rPr>
          <w:rFonts w:hint="default" w:ascii="TimesNewRoman" w:hAnsi="TimesNewRoman" w:eastAsia="仿宋_GB2312" w:cs="TimesNewRoman"/>
          <w:kern w:val="0"/>
          <w:sz w:val="32"/>
          <w:szCs w:val="32"/>
          <w:lang w:val="en-US" w:eastAsia="zh-CN" w:bidi="ar-SA"/>
        </w:rPr>
        <w:t>问题积极与相关部门进行对接，缩短收储地块向“净地”转化的时间</w:t>
      </w:r>
      <w:r>
        <w:rPr>
          <w:rFonts w:hint="eastAsia" w:ascii="TimesNewRoman" w:hAnsi="TimesNewRoman" w:eastAsia="仿宋_GB2312" w:cs="TimesNewRoman"/>
          <w:kern w:val="0"/>
          <w:sz w:val="32"/>
          <w:szCs w:val="32"/>
          <w:lang w:val="en-US" w:eastAsia="zh-CN" w:bidi="ar-SA"/>
        </w:rPr>
        <w:t>，</w:t>
      </w:r>
      <w:r>
        <w:rPr>
          <w:rFonts w:hint="default" w:ascii="TimesNewRoman" w:hAnsi="TimesNewRoman" w:eastAsia="仿宋_GB2312" w:cs="TimesNewRoman"/>
          <w:kern w:val="0"/>
          <w:sz w:val="32"/>
          <w:szCs w:val="32"/>
          <w:lang w:val="en-US" w:eastAsia="zh-CN" w:bidi="ar-SA"/>
        </w:rPr>
        <w:t>确保“净地”入市。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（五）务实基础规划业务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深化“多规合一”改革，</w:t>
      </w:r>
      <w:r>
        <w:rPr>
          <w:rFonts w:hint="eastAsia" w:ascii="TimesNewRoman" w:hAnsi="TimesNewRoman" w:eastAsia="仿宋_GB2312" w:cs="TimesNewRoman"/>
          <w:kern w:val="0"/>
          <w:sz w:val="32"/>
          <w:szCs w:val="32"/>
          <w:lang w:val="en-US" w:eastAsia="zh-CN" w:bidi="ar-SA"/>
        </w:rPr>
        <w:t>做实基层规划业务。</w:t>
      </w:r>
      <w:r>
        <w:rPr>
          <w:rFonts w:hint="default" w:ascii="TimesNewRoman" w:hAnsi="TimesNewRoman" w:eastAsia="仿宋_GB2312" w:cs="TimesNewRoman"/>
          <w:kern w:val="0"/>
          <w:sz w:val="32"/>
          <w:szCs w:val="32"/>
          <w:lang w:val="en-US" w:eastAsia="zh-CN" w:bidi="ar-SA"/>
        </w:rPr>
        <w:t>协调渠沟镇完成渠沟镇国土空间总体规划编制审批</w:t>
      </w:r>
      <w:r>
        <w:rPr>
          <w:rFonts w:hint="eastAsia" w:ascii="TimesNewRoman" w:hAnsi="TimesNewRoman" w:eastAsia="仿宋_GB2312" w:cs="TimesNewRoman"/>
          <w:kern w:val="0"/>
          <w:sz w:val="32"/>
          <w:szCs w:val="32"/>
          <w:lang w:val="en-US" w:eastAsia="zh-CN" w:bidi="ar-SA"/>
        </w:rPr>
        <w:t>，配合完成市级专家评审会审议、市规委会审议等多项审批、批后环节，协调各环节有序开展。完成相山区单元详细规划编制审批，协调市建投、相山经济开发区完成相山辖区内3个片区的单元详细规划编制审批，代区政府组织编制完成的相山区5个片区的单元详细规划编制审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（六）加强自然资源督察执法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落实自然资源督察执法与林草监督执法协同配合机制</w:t>
      </w:r>
      <w:r>
        <w:rPr>
          <w:rFonts w:hint="eastAsia" w:ascii="TimesNewRoman" w:hAnsi="TimesNewRoman" w:eastAsia="仿宋_GB2312" w:cs="TimesNewRoman"/>
          <w:kern w:val="0"/>
          <w:sz w:val="32"/>
          <w:szCs w:val="32"/>
          <w:lang w:val="en-US" w:eastAsia="zh-CN" w:bidi="ar-SA"/>
        </w:rPr>
        <w:t>，加大自然资源执法力度。与日常变更调查结果相衔接，开展年度土地卫片执法工作。做好2024年例行督察问题和2018-2023年卫片执法存量问题整改工作。开展存量农村乱占耕地建房非住宅类问题整治工作，稳步推进“私搭乱建”专项整治，落实破坏耕地毁林毁草毁湿执法专项行动。常态化开展扫黑除恶斗争工作，强化行刑衔接、纪法衔接，注重日常线索排查上报。配合农业农村部门做好“大棚房”常态化监管工作，加大日常巡查力度，及时发现、及时上报、及时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（七）其他管理工作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规范临时用地全过程监管，根据国家和省临时用地管理办法，严格审批、密切跟踪、优化服务、恢复验收，坚持“一地一档”，实行闭环管理，坚决杜绝临时用地乱用、超期等问题。配合市局完成自然资源资产清查、开发园区专项治理和公告目录修订。配合市局，纵深推进殡葬领域专项整治，规范殡葬领域用地管理。落实好支持城市更新和乡村振兴的规划和土地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做好相山区内重点项目保障工作。为重点项目规划选址、土地报批、地块出让以及违法图斑、耕地流失图斑的土地来源、面积、地类、规划、权属等提供数据支撑，为决策提供依据。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做好2025年变更调查工作，扎实开展自然资源调查监测。通过变更调查掌握土地利用的基本情况，分析土地利用现状变化及原因，分析用地流向，对耕地保护、规划实施等提出辅助决策分析的信息，对涉及非农化、触及红线的信息开展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default" w:ascii="TimesNewRoman" w:hAnsi="TimesNewRoman" w:eastAsia="仿宋_GB2312" w:cs="TimesNewRoman"/>
          <w:kern w:val="0"/>
          <w:sz w:val="32"/>
          <w:szCs w:val="32"/>
          <w:lang w:val="en-US" w:eastAsia="zh-CN" w:bidi="ar-SA"/>
        </w:rPr>
        <w:t>根据省厅、市局关于2025年汛期地质灾害值班工作的通知要求，</w:t>
      </w:r>
      <w:r>
        <w:rPr>
          <w:rFonts w:hint="eastAsia" w:ascii="TimesNewRoman" w:hAnsi="TimesNewRoman" w:eastAsia="仿宋_GB2312" w:cs="TimesNewRoman"/>
          <w:kern w:val="0"/>
          <w:sz w:val="32"/>
          <w:szCs w:val="32"/>
          <w:lang w:val="en-US" w:eastAsia="zh-CN" w:bidi="ar-SA"/>
        </w:rPr>
        <w:t>落实</w:t>
      </w:r>
      <w:r>
        <w:rPr>
          <w:rFonts w:hint="default" w:ascii="TimesNewRoman" w:hAnsi="TimesNewRoman" w:eastAsia="仿宋_GB2312" w:cs="TimesNewRoman"/>
          <w:kern w:val="0"/>
          <w:sz w:val="32"/>
          <w:szCs w:val="32"/>
          <w:lang w:val="en-US" w:eastAsia="zh-CN" w:bidi="ar-SA"/>
        </w:rPr>
        <w:t>相山区2025年汛期地质灾害防治工作，确保地质灾害预警预报信息及灾情险情报送畅通</w:t>
      </w:r>
      <w:r>
        <w:rPr>
          <w:rFonts w:hint="eastAsia" w:ascii="TimesNewRoman" w:hAnsi="TimesNewRoman" w:eastAsia="仿宋_GB2312" w:cs="TimesNew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监管、督促淮北市相山区曲阳街道黄里三个废弃采石场地质环境治理修复项目的进行；启动相山电厂灰坑及周边矿山生态修复综合修复项目。</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（八）毫不松懈推进全面从严治党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定期组织党员干部参加政治理论学习，深入学习习近平新时代中国特色社会主义思想。利用典型案例进行警示教育，通过观看警示教育片、参观廉政教育基地等活动，使党员干部引以为戒，增强廉洁自律意识。严格执行 “三会一课” 制度，定期召开支部党员大会、支部委员会，按时上好党课。认真开展民主生活会和组织生活会，严格执行民主评议党员制度，加强党内监督。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cs="TimesNewRoman"/>
          <w:kern w:val="0"/>
          <w:sz w:val="32"/>
          <w:szCs w:val="32"/>
          <w:lang w:val="en-US" w:eastAsia="zh-CN" w:bidi="ar-SA"/>
        </w:rPr>
      </w:pP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相山分局所有收入和支出均纳入单位预算管理。淮北市自然资源和规划局相山分局2025年收支总预算589.88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淮北市自然资源和规划局相山分局2025年收入预算589.88万元，其中，本年收入589.88万元。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（一）本年收入589.88万元，</w:t>
      </w:r>
      <w:r>
        <w:rPr>
          <w:rFonts w:hint="eastAsia" w:ascii="TimesNewRoman" w:hAnsi="TimesNewRoman" w:eastAsia="仿宋_GB2312" w:cs="TimesNewRoman"/>
          <w:kern w:val="0"/>
          <w:sz w:val="32"/>
          <w:szCs w:val="32"/>
        </w:rPr>
        <w:t>主要包括：一般公共预算拨款收入468.66万元，占79.45%，比2024年预算增加2.46万元，增长0.53%，</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职工增资及社保公积金等经费增加</w:t>
      </w:r>
      <w:r>
        <w:rPr>
          <w:rFonts w:hint="eastAsia" w:ascii="TimesNewRoman" w:hAnsi="TimesNewRoman" w:eastAsia="仿宋_GB2312" w:cs="TimesNewRoman"/>
          <w:kern w:val="0"/>
          <w:sz w:val="32"/>
          <w:szCs w:val="32"/>
        </w:rPr>
        <w:t>；政府性基金预算拨款收入121.22万元，占20.55%，比2024年预算减少3万元，下降2.42%，</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kern w:val="0"/>
          <w:sz w:val="32"/>
          <w:szCs w:val="32"/>
        </w:rPr>
        <w:t>；财政专户管理资金收入0万元，占0%，比2024年预算增加0万元，增长0%，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rPr>
        <w:t>淮北市自然资源和规划局相山分局</w:t>
      </w:r>
      <w:r>
        <w:rPr>
          <w:rFonts w:hint="eastAsia"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年均无财政专户管理资金收</w:t>
      </w:r>
      <w:r>
        <w:rPr>
          <w:rFonts w:hint="eastAsia" w:ascii="TimesNewRoman" w:hAnsi="TimesNewRoman" w:eastAsia="仿宋_GB2312" w:cs="TimesNewRoman"/>
          <w:kern w:val="0"/>
          <w:sz w:val="32"/>
          <w:szCs w:val="32"/>
        </w:rPr>
        <w:t>入。</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淮北市自然资源和规划局相山分局2025年支出预算589.88万元，比2024年预算减少0.54万元，下降0.09%</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。其中，基本支出468.66万元，占79.45</w:t>
      </w:r>
      <w:r>
        <w:rPr>
          <w:rFonts w:hint="eastAsia" w:ascii="TimesNewRoman" w:hAnsi="TimesNewRoman" w:eastAsia="仿宋_GB2312" w:cs="TimesNewRoman"/>
          <w:kern w:val="0"/>
          <w:sz w:val="32"/>
          <w:szCs w:val="32"/>
        </w:rPr>
        <w:t>%，主要用于保障机构日常运转、完成日常工作任务；项目支出121.22万元，占20.55%，</w:t>
      </w:r>
      <w:r>
        <w:rPr>
          <w:rFonts w:hint="eastAsia" w:ascii="TimesNewRoman" w:hAnsi="TimesNewRoman" w:eastAsia="仿宋_GB2312" w:cs="TimesNewRoman"/>
          <w:color w:val="auto"/>
          <w:kern w:val="0"/>
          <w:sz w:val="32"/>
          <w:szCs w:val="32"/>
        </w:rPr>
        <w:t>主要用于</w:t>
      </w:r>
      <w:r>
        <w:rPr>
          <w:rFonts w:hint="eastAsia" w:ascii="仿宋_GB2312" w:hAnsi="仿宋" w:eastAsia="仿宋_GB2312"/>
          <w:color w:val="auto"/>
          <w:sz w:val="32"/>
          <w:szCs w:val="32"/>
        </w:rPr>
        <w:t>局本级和局下属单位项目支出。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自然资源和规划局相山分局2025年财政拨款收支预算589.88万元。收入按资金来源分为：一般公共预算拨款468.66万元、政府性基金预算拨款121.22万元；按资金年度分为：本年财政拨款收入589.88万元。支出按功能分类分为：社会保障和就业支出93.61万元，占15.87%；卫生健康支出20.6万元，占3.49%；城乡社区支出</w:t>
      </w:r>
      <w:r>
        <w:rPr>
          <w:rFonts w:hint="eastAsia" w:ascii="TimesNewRoman" w:hAnsi="TimesNewRoman" w:eastAsia="仿宋_GB2312" w:cs="TimesNewRoman"/>
          <w:color w:val="000000" w:themeColor="text1"/>
          <w:kern w:val="0"/>
          <w:sz w:val="32"/>
          <w:szCs w:val="32"/>
        </w:rPr>
        <w:t>121.22</w:t>
      </w:r>
      <w:r>
        <w:rPr>
          <w:rFonts w:hint="eastAsia" w:ascii="TimesNewRoman" w:hAnsi="TimesNewRoman" w:eastAsia="仿宋_GB2312" w:cs="TimesNewRoman"/>
          <w:kern w:val="0"/>
          <w:sz w:val="32"/>
          <w:szCs w:val="32"/>
        </w:rPr>
        <w:t>万元，占20.55%；自然资源海洋气象等支出327.09万元，占55.45%；住房保障支出27.35万元，占4.64%。</w:t>
      </w:r>
      <w:r>
        <w:rPr>
          <w:rFonts w:hint="eastAsia" w:ascii="TimesNewRoman" w:hAnsi="TimesNewRoman" w:eastAsia="仿宋_GB2312" w:cs="TimesNewRoman"/>
          <w:kern w:val="0"/>
          <w:sz w:val="32"/>
          <w:szCs w:val="32"/>
          <w:lang w:eastAsia="zh-CN"/>
        </w:rPr>
        <w:t>因四舍五入尾数存在误差。</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淮北市自然资源和规划局相山分局2025年一般公共预算支出468.66万元，比2024年预算增加2.46万元，增长0.53%</w:t>
      </w:r>
      <w:r>
        <w:rPr>
          <w:rFonts w:hint="eastAsia" w:ascii="TimesNewRoman" w:hAnsi="TimesNewRoman" w:eastAsia="仿宋_GB2312" w:cs="TimesNewRoman"/>
          <w:color w:val="auto"/>
          <w:kern w:val="0"/>
          <w:sz w:val="32"/>
          <w:szCs w:val="32"/>
        </w:rPr>
        <w:t>，主要原因是</w:t>
      </w:r>
      <w:r>
        <w:rPr>
          <w:rFonts w:hint="eastAsia" w:ascii="TimesNewRoman" w:hAnsi="TimesNewRoman" w:eastAsia="仿宋_GB2312" w:cs="TimesNewRoman"/>
          <w:color w:val="auto"/>
          <w:kern w:val="0"/>
          <w:sz w:val="32"/>
          <w:szCs w:val="32"/>
          <w:lang w:eastAsia="zh-CN"/>
        </w:rPr>
        <w:t>职工增资及社保公积金等经费增加</w:t>
      </w:r>
      <w:r>
        <w:rPr>
          <w:rFonts w:hint="eastAsia" w:ascii="TimesNewRoman" w:hAnsi="TimesNewRoman" w:eastAsia="仿宋_GB2312" w:cs="TimesNewRoman"/>
          <w:color w:val="auto"/>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社会保障和就业支出93.61万元，占19.97%；卫生健康支出20.60万元，占4.4%；自然资源海洋气象等支出327.09万元，占69.79%；住房保障支出27.35万元，占5.84%。</w:t>
      </w:r>
      <w:r>
        <w:rPr>
          <w:rFonts w:hint="eastAsia" w:ascii="TimesNewRoman" w:hAnsi="TimesNewRoman" w:eastAsia="仿宋_GB2312" w:cs="TimesNewRoman"/>
          <w:kern w:val="0"/>
          <w:sz w:val="32"/>
          <w:szCs w:val="32"/>
          <w:lang w:eastAsia="zh-CN"/>
        </w:rPr>
        <w:t>因四舍五入尾数存在误差。</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2025年预算32.94万元，比2024年预算增加3.17万元，增长10.65%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新增退休人员</w:t>
      </w:r>
      <w:r>
        <w:rPr>
          <w:rFonts w:hint="eastAsia" w:ascii="TimesNewRoman" w:hAnsi="TimesNewRoman" w:eastAsia="仿宋_GB2312" w:cs="TimesNewRoman"/>
          <w:color w:val="auto"/>
          <w:kern w:val="0"/>
          <w:sz w:val="32"/>
          <w:szCs w:val="32"/>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2025年预算39.67万元，比2024年预算增加0.66万元，增长</w:t>
      </w:r>
      <w:r>
        <w:rPr>
          <w:rFonts w:hint="eastAsia" w:ascii="TimesNewRoman" w:hAnsi="TimesNewRoman" w:eastAsia="仿宋_GB2312" w:cs="TimesNewRoman"/>
          <w:color w:val="auto"/>
          <w:kern w:val="0"/>
          <w:sz w:val="32"/>
          <w:szCs w:val="32"/>
        </w:rPr>
        <w:t>1.69%，原因主要是</w:t>
      </w:r>
      <w:r>
        <w:rPr>
          <w:rFonts w:hint="eastAsia" w:ascii="仿宋_GB2312" w:hAnsi="仿宋" w:eastAsia="仿宋_GB2312"/>
          <w:color w:val="auto"/>
          <w:sz w:val="32"/>
          <w:szCs w:val="32"/>
          <w:lang w:eastAsia="zh-CN"/>
        </w:rPr>
        <w:t>社保基数调增。</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kern w:val="0"/>
          <w:sz w:val="32"/>
          <w:szCs w:val="32"/>
        </w:rPr>
        <w:t>3、社会保障和就业支出（类）行政事业单位养老支出（款）机关事业单位职业年金缴费支出（项）2025年预算19.84万元，比2024年预算增加0.33万元，增长1.69%，</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社保基数调增。</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2025年预算1.17万元，比2023年预算增加0.02万元，增长1.74%，</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社保基数调增。</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（类）行政事业单位医疗（款）行政单位医疗（项）</w:t>
      </w:r>
      <w:r>
        <w:rPr>
          <w:rFonts w:hint="eastAsia" w:ascii="TimesNewRoman" w:hAnsi="TimesNewRoman" w:eastAsia="仿宋_GB2312" w:cs="TimesNewRoman"/>
          <w:kern w:val="0"/>
          <w:sz w:val="32"/>
          <w:szCs w:val="32"/>
        </w:rPr>
        <w:t>2025年预算13.11万元，比2024年预算减少7.24万元，下降3</w:t>
      </w:r>
      <w:r>
        <w:rPr>
          <w:rFonts w:hint="eastAsia" w:ascii="TimesNewRoman" w:hAnsi="TimesNewRoman" w:eastAsia="仿宋_GB2312" w:cs="TimesNewRoman"/>
          <w:color w:val="auto"/>
          <w:kern w:val="0"/>
          <w:sz w:val="32"/>
          <w:szCs w:val="32"/>
        </w:rPr>
        <w:t>5.58%，原因主要是</w:t>
      </w:r>
      <w:r>
        <w:rPr>
          <w:rFonts w:hint="eastAsia" w:ascii="TimesNewRoman" w:hAnsi="TimesNewRoman" w:eastAsia="仿宋_GB2312" w:cs="TimesNewRoman"/>
          <w:color w:val="auto"/>
          <w:kern w:val="0"/>
          <w:sz w:val="32"/>
          <w:szCs w:val="32"/>
          <w:lang w:eastAsia="zh-CN"/>
        </w:rPr>
        <w:t>医疗保险费率下调</w:t>
      </w:r>
      <w:r>
        <w:rPr>
          <w:rFonts w:hint="eastAsia" w:ascii="TimesNewRoman" w:hAnsi="TimesNewRoman" w:eastAsia="仿宋_GB2312" w:cs="TimesNewRoman"/>
          <w:color w:val="auto"/>
          <w:kern w:val="0"/>
          <w:sz w:val="32"/>
          <w:szCs w:val="32"/>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color w:val="auto"/>
          <w:kern w:val="0"/>
          <w:sz w:val="32"/>
          <w:szCs w:val="32"/>
        </w:rPr>
        <w:t>6、</w:t>
      </w:r>
      <w:r>
        <w:rPr>
          <w:rFonts w:hint="eastAsia" w:ascii="仿宋_GB2312" w:hAnsi="仿宋" w:eastAsia="仿宋_GB2312" w:cs="Times New Roman"/>
          <w:color w:val="auto"/>
          <w:sz w:val="32"/>
          <w:szCs w:val="32"/>
        </w:rPr>
        <w:t>卫生健康支出</w:t>
      </w:r>
      <w:r>
        <w:rPr>
          <w:rFonts w:hint="eastAsia" w:ascii="仿宋_GB2312" w:hAnsi="仿宋" w:eastAsia="仿宋_GB2312"/>
          <w:color w:val="auto"/>
          <w:sz w:val="32"/>
          <w:szCs w:val="32"/>
        </w:rPr>
        <w:t>（类）行政事业单位医疗（款</w:t>
      </w:r>
      <w:r>
        <w:rPr>
          <w:rFonts w:hint="eastAsia" w:ascii="仿宋_GB2312" w:hAnsi="仿宋" w:eastAsia="仿宋_GB2312"/>
          <w:sz w:val="32"/>
          <w:szCs w:val="32"/>
        </w:rPr>
        <w:t>）公务员医疗补助（项）</w:t>
      </w:r>
      <w:r>
        <w:rPr>
          <w:rFonts w:hint="eastAsia" w:ascii="TimesNewRoman" w:hAnsi="TimesNewRoman" w:eastAsia="仿宋_GB2312" w:cs="TimesNewRoman"/>
          <w:kern w:val="0"/>
          <w:sz w:val="32"/>
          <w:szCs w:val="32"/>
        </w:rPr>
        <w:t>2025年预算7.5万元，比2024年预算增加5.95万元，增长383.87</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社保基数调增。</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2025年预算90.02万元，比2024年预算增加54.05万元，增长150.26%，</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职工调资及功能科目分类调整</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2025年预算237.07万元，比2024年预算增加0.74万元，增长0.31%，</w:t>
      </w:r>
      <w:r>
        <w:rPr>
          <w:rFonts w:hint="eastAsia" w:ascii="TimesNewRoman" w:hAnsi="TimesNewRoman" w:eastAsia="仿宋_GB2312" w:cs="TimesNewRoman"/>
          <w:color w:val="auto"/>
          <w:kern w:val="0"/>
          <w:sz w:val="32"/>
          <w:szCs w:val="32"/>
        </w:rPr>
        <w:t>原因主要是</w:t>
      </w:r>
      <w:r>
        <w:rPr>
          <w:rFonts w:hint="eastAsia" w:ascii="仿宋_GB2312" w:hAnsi="仿宋" w:eastAsia="仿宋_GB2312"/>
          <w:color w:val="auto"/>
          <w:sz w:val="32"/>
          <w:szCs w:val="32"/>
          <w:lang w:eastAsia="zh-CN"/>
        </w:rPr>
        <w:t>职工调资</w:t>
      </w:r>
      <w:r>
        <w:rPr>
          <w:rFonts w:hint="eastAsia" w:ascii="仿宋_GB2312" w:hAnsi="仿宋" w:eastAsia="仿宋_GB2312"/>
          <w:color w:val="auto"/>
          <w:sz w:val="32"/>
          <w:szCs w:val="32"/>
        </w:rPr>
        <w:t>。</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（类）住房改革支出（款）提租补贴（项）</w:t>
      </w:r>
      <w:r>
        <w:rPr>
          <w:rFonts w:hint="eastAsia" w:ascii="TimesNewRoman" w:hAnsi="TimesNewRoman" w:eastAsia="仿宋_GB2312" w:cs="TimesNewRoman"/>
          <w:kern w:val="0"/>
          <w:sz w:val="32"/>
          <w:szCs w:val="32"/>
        </w:rPr>
        <w:t>2025年预算10.26万元，比2024年预算减少0.26万元，下降2.47%，</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w:t>
      </w:r>
      <w:r>
        <w:rPr>
          <w:rFonts w:hint="eastAsia" w:ascii="TimesNewRoman" w:hAnsi="TimesNewRoman" w:eastAsia="仿宋_GB2312" w:cs="TimesNewRoman"/>
          <w:color w:val="auto"/>
          <w:kern w:val="0"/>
          <w:sz w:val="32"/>
          <w:szCs w:val="32"/>
        </w:rPr>
        <w:t>。</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2025年预算17.09万元，比2024年预算减少0.44万元，下降2.51%</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w:t>
      </w:r>
      <w:r>
        <w:rPr>
          <w:rFonts w:hint="eastAsia" w:ascii="TimesNewRoman" w:hAnsi="TimesNewRoman" w:eastAsia="仿宋_GB2312" w:cs="TimesNewRoman"/>
          <w:color w:val="auto"/>
          <w:kern w:val="0"/>
          <w:sz w:val="32"/>
          <w:szCs w:val="32"/>
        </w:rPr>
        <w:t>。</w:t>
      </w:r>
    </w:p>
    <w:p>
      <w:pPr>
        <w:ind w:firstLine="640" w:firstLineChars="200"/>
        <w:rPr>
          <w:rFonts w:hint="eastAsia" w:eastAsia="仿宋_GB2312"/>
          <w:lang w:eastAsia="zh-CN"/>
        </w:rPr>
      </w:pPr>
      <w:r>
        <w:rPr>
          <w:rFonts w:hint="eastAsia" w:ascii="TimesNewRoman" w:hAnsi="TimesNewRoman" w:eastAsia="仿宋_GB2312" w:cs="TimesNewRoman"/>
          <w:color w:val="auto"/>
          <w:kern w:val="0"/>
          <w:sz w:val="32"/>
          <w:szCs w:val="32"/>
          <w:lang w:eastAsia="zh-CN"/>
        </w:rPr>
        <w:t>注：</w:t>
      </w:r>
      <w:r>
        <w:rPr>
          <w:rFonts w:hint="eastAsia" w:ascii="TimesNewRoman" w:hAnsi="TimesNewRoman" w:eastAsia="仿宋_GB2312" w:cs="TimesNewRoman"/>
          <w:kern w:val="0"/>
          <w:sz w:val="32"/>
          <w:szCs w:val="32"/>
          <w:lang w:eastAsia="zh-CN"/>
        </w:rPr>
        <w:t>因四舍五入尾数存在误差。</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淮北市自然资源和规划局相山分局2025年一般公共预算基本支出468.66万元，其中，人员经费435.3万元，公用经费33.36万元。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（一）人员经费435.3万元，</w:t>
      </w:r>
      <w:r>
        <w:rPr>
          <w:rFonts w:hint="eastAsia" w:ascii="TimesNewRoman" w:hAnsi="TimesNewRoman" w:eastAsia="仿宋_GB2312" w:cs="TimesNewRoman"/>
          <w:kern w:val="0"/>
          <w:sz w:val="32"/>
          <w:szCs w:val="32"/>
        </w:rPr>
        <w:t>主要包括: 基本工资、津贴补贴、奖金、绩效工资、机关事业单位基本养老保险费、职业年金缴费、职工基本医疗保险缴费、公务员医疗补助缴费、其他社会保障缴费、办公费、工会经费、福利费、住房公积金、其他商品</w:t>
      </w:r>
      <w:r>
        <w:rPr>
          <w:rFonts w:hint="eastAsia" w:ascii="TimesNewRoman" w:hAnsi="TimesNewRoman" w:eastAsia="仿宋_GB2312" w:cs="TimesNewRoman"/>
          <w:kern w:val="0"/>
          <w:sz w:val="32"/>
          <w:szCs w:val="32"/>
          <w:lang w:eastAsia="zh-CN"/>
        </w:rPr>
        <w:t>和</w:t>
      </w:r>
      <w:bookmarkStart w:id="0" w:name="_GoBack"/>
      <w:bookmarkEnd w:id="0"/>
      <w:r>
        <w:rPr>
          <w:rFonts w:hint="eastAsia" w:ascii="TimesNewRoman" w:hAnsi="TimesNewRoman" w:eastAsia="仿宋_GB2312" w:cs="TimesNewRoman"/>
          <w:kern w:val="0"/>
          <w:sz w:val="32"/>
          <w:szCs w:val="32"/>
        </w:rPr>
        <w:t>服务支出、退休费、奖励金、医疗费补助、其他对个人和家庭的补助。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（二）公用经费33.36万元，</w:t>
      </w:r>
      <w:r>
        <w:rPr>
          <w:rFonts w:hint="eastAsia" w:ascii="TimesNewRoman" w:hAnsi="TimesNewRoman" w:eastAsia="仿宋_GB2312" w:cs="TimesNewRoman"/>
          <w:kern w:val="0"/>
          <w:sz w:val="32"/>
          <w:szCs w:val="32"/>
        </w:rPr>
        <w:t>主要包括：其他交通费用、其他商品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淮北市自然资源和规划局相山分局2025年政府性基金支出121.22万元，比2024年预算减少3万元，下降2.</w:t>
      </w:r>
      <w:r>
        <w:rPr>
          <w:rFonts w:hint="eastAsia" w:ascii="TimesNewRoman" w:hAnsi="TimesNewRoman" w:eastAsia="仿宋_GB2312" w:cs="TimesNewRoman"/>
          <w:color w:val="auto"/>
          <w:kern w:val="0"/>
          <w:sz w:val="32"/>
          <w:szCs w:val="32"/>
        </w:rPr>
        <w:t>42%，主要原因是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。具体情况如下：</w:t>
      </w:r>
    </w:p>
    <w:p>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2025年预算121.22万元，比2024年预算减少3万元，下降2.42%，</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淮北市自然资源和规划局相山分局2025年预算共安排项目支出121.22万元，比2024年预算减少3万元，</w:t>
      </w:r>
      <w:r>
        <w:rPr>
          <w:rFonts w:hint="eastAsia" w:ascii="TimesNewRoman" w:hAnsi="TimesNewRoman" w:eastAsia="仿宋_GB2312" w:cs="TimesNewRoman"/>
          <w:color w:val="auto"/>
          <w:kern w:val="0"/>
          <w:sz w:val="32"/>
          <w:szCs w:val="32"/>
        </w:rPr>
        <w:t>下降2.42%，原因主要是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。主要包括：本年财政拨款</w:t>
      </w:r>
      <w:r>
        <w:rPr>
          <w:rFonts w:hint="eastAsia" w:ascii="TimesNewRoman" w:hAnsi="TimesNewRoman" w:eastAsia="仿宋_GB2312" w:cs="TimesNewRoman"/>
          <w:kern w:val="0"/>
          <w:sz w:val="32"/>
          <w:szCs w:val="32"/>
        </w:rPr>
        <w:t>安排121.22万元（其中，一般公共预算拨款安排0万元，政府性基金预算拨款安排121.22万元），财政专户管理资金安排0万元。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淮北市自然资源和规划局相山分局2025年没有安排政府购买服务支出。</w:t>
      </w:r>
    </w:p>
    <w:p>
      <w:pPr>
        <w:pStyle w:val="6"/>
        <w:adjustRightInd w:val="0"/>
        <w:snapToGrid w:val="0"/>
        <w:spacing w:line="560" w:lineRule="exact"/>
        <w:ind w:firstLine="640" w:firstLineChars="200"/>
        <w:rPr>
          <w:rFonts w:ascii="TimesNewRoman" w:hAnsi="TimesNewRoman" w:eastAsia="黑体" w:cs="TimesNewRoman"/>
          <w:color w:val="auto"/>
          <w:sz w:val="32"/>
          <w:szCs w:val="32"/>
        </w:rPr>
      </w:pPr>
      <w:r>
        <w:rPr>
          <w:rFonts w:ascii="TimesNewRoman" w:hAnsi="TimesNewRoman" w:eastAsia="黑体" w:cs="TimesNewRoman"/>
          <w:color w:val="auto"/>
          <w:sz w:val="32"/>
          <w:szCs w:val="32"/>
        </w:rPr>
        <w:t>十</w:t>
      </w:r>
      <w:r>
        <w:rPr>
          <w:rFonts w:hint="eastAsia" w:ascii="TimesNewRoman" w:hAnsi="TimesNewRoman" w:eastAsia="黑体" w:cs="TimesNewRoman"/>
          <w:color w:val="auto"/>
          <w:sz w:val="32"/>
          <w:szCs w:val="32"/>
        </w:rPr>
        <w:t>二</w:t>
      </w:r>
      <w:r>
        <w:rPr>
          <w:rFonts w:ascii="TimesNewRoman" w:hAnsi="TimesNewRoman" w:eastAsia="黑体" w:cs="TimesNewRoman"/>
          <w:color w:val="auto"/>
          <w:sz w:val="32"/>
          <w:szCs w:val="32"/>
        </w:rPr>
        <w:t>、关于</w:t>
      </w:r>
      <w:r>
        <w:rPr>
          <w:rFonts w:hint="eastAsia" w:ascii="TimesNewRoman" w:hAnsi="TimesNewRoman" w:eastAsia="黑体" w:cs="TimesNewRoman"/>
          <w:color w:val="auto"/>
          <w:sz w:val="32"/>
          <w:szCs w:val="32"/>
        </w:rPr>
        <w:t>2025</w:t>
      </w:r>
      <w:r>
        <w:rPr>
          <w:rFonts w:ascii="TimesNewRoman" w:hAnsi="TimesNewRoman" w:eastAsia="黑体" w:cs="TimesNewRoman"/>
          <w:color w:val="auto"/>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color w:val="auto"/>
          <w:sz w:val="32"/>
          <w:szCs w:val="32"/>
        </w:rPr>
      </w:pPr>
      <w:r>
        <w:rPr>
          <w:rFonts w:hint="eastAsia" w:ascii="TimesNewRoman" w:hAnsi="TimesNewRoman" w:eastAsia="仿宋_GB2312" w:cs="TimesNewRoman"/>
          <w:color w:val="auto"/>
          <w:kern w:val="0"/>
          <w:sz w:val="32"/>
          <w:szCs w:val="32"/>
        </w:rPr>
        <w:t>淮北市自然资源和规划局相山分局</w:t>
      </w:r>
      <w:r>
        <w:rPr>
          <w:rFonts w:hint="eastAsia" w:ascii="TimesNewRoman" w:hAnsi="TimesNewRoman" w:eastAsia="仿宋_GB2312" w:cs="TimesNewRoman"/>
          <w:color w:val="auto"/>
          <w:sz w:val="32"/>
          <w:szCs w:val="32"/>
        </w:rPr>
        <w:t>2025</w:t>
      </w:r>
      <w:r>
        <w:rPr>
          <w:rFonts w:ascii="TimesNewRoman" w:hAnsi="TimesNewRoman" w:eastAsia="仿宋_GB2312" w:cs="TimesNewRoman"/>
          <w:color w:val="auto"/>
          <w:sz w:val="32"/>
          <w:szCs w:val="32"/>
        </w:rPr>
        <w:t>年没有安排通用资产配置支出。</w:t>
      </w:r>
    </w:p>
    <w:p>
      <w:pPr>
        <w:pStyle w:val="6"/>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（3）实施主体。淮北市自然资源和规划局相山分局</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：50.08万元。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color w:val="000000"/>
                <w:sz w:val="20"/>
                <w:szCs w:val="20"/>
              </w:rPr>
              <w:t>国土资源业务费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国标宋体" w:hAnsi="国标宋体" w:eastAsia="国标宋体" w:cs="国标宋体"/>
                <w:color w:val="000000"/>
                <w:sz w:val="20"/>
                <w:szCs w:val="20"/>
              </w:rPr>
              <w:t>保障人员费用支出，及时、高质量保障，确保各项任务顺利开展。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待岗</w:t>
            </w:r>
            <w:r>
              <w:rPr>
                <w:rFonts w:hint="eastAsia" w:ascii="宋体" w:hAnsi="宋体" w:eastAsia="宋体" w:cs="宋体"/>
                <w:color w:val="000000"/>
                <w:kern w:val="0"/>
                <w:sz w:val="20"/>
                <w:szCs w:val="20"/>
              </w:rPr>
              <w:t>人员数量</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严格执行相关财经严格执行相关财经法规制度法规制度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50.08万元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指标1：同工同酬</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指标1：人员稳定</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指标1：增强群众生态文明意识</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支撑作用效果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指标1：高质量保障</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sz w:val="20"/>
                <w:szCs w:val="20"/>
              </w:rPr>
              <w:t>≥</w:t>
            </w:r>
            <w:r>
              <w:rPr>
                <w:rFonts w:hint="eastAsia"/>
                <w:sz w:val="20"/>
                <w:szCs w:val="20"/>
              </w:rPr>
              <w:t>95%</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（3）实施主体。淮北市自然资源和规划局相山分局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58</w:t>
      </w:r>
      <w:r>
        <w:rPr>
          <w:rFonts w:hint="eastAsia" w:ascii="TimesNewRoman" w:hAnsi="TimesNewRoman" w:eastAsia="仿宋_GB2312" w:cs="TimesNewRoman"/>
          <w:kern w:val="0"/>
          <w:sz w:val="32"/>
          <w:szCs w:val="32"/>
        </w:rPr>
        <w:t>.06万元</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color w:val="00000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color w:val="000000"/>
                <w:sz w:val="20"/>
                <w:szCs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eastAsia="宋体" w:cs="宋体"/>
                <w:sz w:val="20"/>
                <w:lang w:eastAsia="zh-CN"/>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sz w:val="20"/>
                <w:szCs w:val="20"/>
                <w:lang w:eastAsia="zh-CN"/>
              </w:rPr>
              <w:t>能够保障工作，提高办事效率和质量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w:t>
            </w:r>
            <w:r>
              <w:rPr>
                <w:rFonts w:hint="eastAsia" w:ascii="宋体" w:hAnsi="宋体" w:eastAsia="宋体" w:cs="宋体"/>
                <w:color w:val="000000"/>
                <w:kern w:val="0"/>
                <w:sz w:val="20"/>
                <w:szCs w:val="20"/>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指标1：高质量保障</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指标1：服务各行业</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指标1：服务行业满意度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sz w:val="20"/>
                <w:szCs w:val="20"/>
              </w:rPr>
              <w:t>≥</w:t>
            </w:r>
            <w:r>
              <w:rPr>
                <w:rFonts w:hint="eastAsia"/>
                <w:sz w:val="20"/>
                <w:szCs w:val="20"/>
              </w:rPr>
              <w:t>95%</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、“办公楼运行维护费”项目。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（1）项目概述。办公楼电费；物业管理费。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（3）实施主体。淮北市自然资源和规划局相山分局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13.08万元。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ign w:val="center"/>
          </w:tcPr>
          <w:p>
            <w:pPr>
              <w:jc w:val="righ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ign w:val="center"/>
          </w:tcPr>
          <w:p>
            <w:pPr>
              <w:jc w:val="righ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ign w:val="center"/>
          </w:tcPr>
          <w:p>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ign w:val="center"/>
          </w:tcPr>
          <w:p>
            <w:pPr>
              <w:jc w:val="left"/>
              <w:rPr>
                <w:rFonts w:ascii="宋体" w:hAnsi="宋体" w:eastAsia="宋体" w:cs="宋体"/>
                <w:color w:val="000000"/>
                <w:kern w:val="0"/>
                <w:sz w:val="20"/>
                <w:szCs w:val="20"/>
              </w:rPr>
            </w:pPr>
            <w:r>
              <w:rPr>
                <w:sz w:val="20"/>
                <w:szCs w:val="20"/>
              </w:rPr>
              <w:t>≥</w:t>
            </w:r>
            <w:r>
              <w:rPr>
                <w:rFonts w:hint="eastAsia"/>
                <w:sz w:val="20"/>
                <w:szCs w:val="20"/>
              </w:rPr>
              <w:t>95%</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淮北市自然资源和规划局相山分局2025年机关运行经费财政拨款预算33.36万元，比2024年预算增加0万元，增长0%，原因主要是</w:t>
      </w:r>
      <w:r>
        <w:rPr>
          <w:rFonts w:hint="eastAsia" w:ascii="TimesNewRoman" w:hAnsi="TimesNewRoman" w:eastAsia="仿宋_GB2312" w:cs="TimesNewRoman"/>
          <w:color w:val="auto"/>
          <w:kern w:val="0"/>
          <w:sz w:val="32"/>
          <w:szCs w:val="32"/>
          <w:lang w:val="en-US" w:eastAsia="zh-CN"/>
        </w:rPr>
        <w:t>2024年、2025年预算安排一致</w:t>
      </w:r>
      <w:r>
        <w:rPr>
          <w:rFonts w:hint="eastAsia" w:ascii="TimesNewRoman" w:hAnsi="TimesNewRoman" w:eastAsia="仿宋_GB2312" w:cs="TimesNewRoman"/>
          <w:color w:val="auto"/>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淮北市自然资源和规划局相山分局2025年政府采购预算0万元。其中：政府采购货物预算0万元，政府采购工程预算0万元，政府采购服务预算0万元。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（四）国有资产占有使用情况。</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截至2024年12月31日，淮北市自然资源和规划局相山分局共有车辆2辆，其中：其他用车2辆。单价50万元以上的通用设备0台（套），单价100万元以上的专用设备0台（套）。</w:t>
      </w:r>
    </w:p>
    <w:p>
      <w:pPr>
        <w:ind w:firstLine="640" w:firstLineChars="200"/>
        <w:rPr>
          <w:rFonts w:hint="eastAsia" w:ascii="TimesNewRoman" w:hAnsi="TimesNewRoman" w:eastAsia="楷体_GB2312" w:cs="TimesNewRoman"/>
          <w:color w:val="FF0000"/>
          <w:sz w:val="32"/>
          <w:szCs w:val="32"/>
          <w:lang w:val="en-US" w:eastAsia="zh-CN"/>
        </w:rPr>
      </w:pPr>
      <w:r>
        <w:rPr>
          <w:rFonts w:hint="eastAsia" w:ascii="TimesNewRoman" w:hAnsi="TimesNewRoman" w:eastAsia="仿宋_GB2312" w:cs="TimesNewRoman"/>
          <w:color w:val="auto"/>
          <w:kern w:val="0"/>
          <w:sz w:val="32"/>
          <w:szCs w:val="32"/>
        </w:rPr>
        <w:t>2025年单位预算安排购置公务用车0辆，购置费0万元0；安排购置单价50万元以上的通用设备0台（套），购置费0万元；安排购置单价100万元以上专用设备0台（套），购置费0万元。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2025年，淮北市自然资源和规划局相山分局3个项目实行了绩效目标管理，涉及一般公共预算当年财政拨款0万元、政府性基金预算当年财政拨款121.22万元、财政专户管理资金当年安排0万元。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国标宋体">
    <w:altName w:val="宋体"/>
    <w:panose1 w:val="00000000000000000000"/>
    <w:charset w:val="86"/>
    <w:family w:val="auto"/>
    <w:pitch w:val="default"/>
    <w:sig w:usb0="00000000" w:usb1="00000000" w:usb2="00000000" w:usb3="00000000" w:csb0="00060007"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124D6"/>
    <w:rsid w:val="00016B83"/>
    <w:rsid w:val="0002046B"/>
    <w:rsid w:val="00027823"/>
    <w:rsid w:val="00031318"/>
    <w:rsid w:val="000409D1"/>
    <w:rsid w:val="00055B3F"/>
    <w:rsid w:val="00061E9D"/>
    <w:rsid w:val="00071F9B"/>
    <w:rsid w:val="000957DE"/>
    <w:rsid w:val="000D5F78"/>
    <w:rsid w:val="000E28EE"/>
    <w:rsid w:val="000E61DA"/>
    <w:rsid w:val="00183A5B"/>
    <w:rsid w:val="001948EE"/>
    <w:rsid w:val="001F6B10"/>
    <w:rsid w:val="00237B4D"/>
    <w:rsid w:val="00267E33"/>
    <w:rsid w:val="00284B30"/>
    <w:rsid w:val="00287C6D"/>
    <w:rsid w:val="002F4121"/>
    <w:rsid w:val="0030270B"/>
    <w:rsid w:val="00302868"/>
    <w:rsid w:val="00324750"/>
    <w:rsid w:val="00333B09"/>
    <w:rsid w:val="003604A6"/>
    <w:rsid w:val="003A4E63"/>
    <w:rsid w:val="003A6F67"/>
    <w:rsid w:val="003B6CFC"/>
    <w:rsid w:val="003E743D"/>
    <w:rsid w:val="00415D64"/>
    <w:rsid w:val="0044265C"/>
    <w:rsid w:val="00490A90"/>
    <w:rsid w:val="004A4DC6"/>
    <w:rsid w:val="004B28FC"/>
    <w:rsid w:val="004C18D1"/>
    <w:rsid w:val="004C5E3A"/>
    <w:rsid w:val="004C7198"/>
    <w:rsid w:val="004D71C6"/>
    <w:rsid w:val="004F21A2"/>
    <w:rsid w:val="004F763D"/>
    <w:rsid w:val="00523904"/>
    <w:rsid w:val="005272AB"/>
    <w:rsid w:val="00557AEF"/>
    <w:rsid w:val="0056383F"/>
    <w:rsid w:val="0057562B"/>
    <w:rsid w:val="005A5C26"/>
    <w:rsid w:val="005D5D21"/>
    <w:rsid w:val="006546AF"/>
    <w:rsid w:val="0069622B"/>
    <w:rsid w:val="006B35C7"/>
    <w:rsid w:val="006E7A90"/>
    <w:rsid w:val="006F7A5F"/>
    <w:rsid w:val="00706CA8"/>
    <w:rsid w:val="00726D96"/>
    <w:rsid w:val="00740B10"/>
    <w:rsid w:val="007538A3"/>
    <w:rsid w:val="00783134"/>
    <w:rsid w:val="007B4EDF"/>
    <w:rsid w:val="007D49A8"/>
    <w:rsid w:val="007D51FB"/>
    <w:rsid w:val="007D7F7C"/>
    <w:rsid w:val="007E2826"/>
    <w:rsid w:val="007E52FE"/>
    <w:rsid w:val="00803386"/>
    <w:rsid w:val="008422BA"/>
    <w:rsid w:val="008450FB"/>
    <w:rsid w:val="00875432"/>
    <w:rsid w:val="008A60D2"/>
    <w:rsid w:val="008A6623"/>
    <w:rsid w:val="008B0DEE"/>
    <w:rsid w:val="008C324F"/>
    <w:rsid w:val="008E600E"/>
    <w:rsid w:val="008F3134"/>
    <w:rsid w:val="008F6D1A"/>
    <w:rsid w:val="00907E20"/>
    <w:rsid w:val="009168AC"/>
    <w:rsid w:val="00933851"/>
    <w:rsid w:val="009552CE"/>
    <w:rsid w:val="009828D1"/>
    <w:rsid w:val="009A3CA3"/>
    <w:rsid w:val="009B565A"/>
    <w:rsid w:val="009F2593"/>
    <w:rsid w:val="00A2702F"/>
    <w:rsid w:val="00AC2B5B"/>
    <w:rsid w:val="00AC33FF"/>
    <w:rsid w:val="00AD219F"/>
    <w:rsid w:val="00AE3242"/>
    <w:rsid w:val="00B03B48"/>
    <w:rsid w:val="00B10681"/>
    <w:rsid w:val="00B22DE6"/>
    <w:rsid w:val="00B35ADB"/>
    <w:rsid w:val="00B51288"/>
    <w:rsid w:val="00B66744"/>
    <w:rsid w:val="00B964EC"/>
    <w:rsid w:val="00BA4D02"/>
    <w:rsid w:val="00BC5E37"/>
    <w:rsid w:val="00BD4FEE"/>
    <w:rsid w:val="00BD640A"/>
    <w:rsid w:val="00BE608B"/>
    <w:rsid w:val="00C016F4"/>
    <w:rsid w:val="00C369E3"/>
    <w:rsid w:val="00C55F2F"/>
    <w:rsid w:val="00C72F12"/>
    <w:rsid w:val="00C73E2E"/>
    <w:rsid w:val="00C87F28"/>
    <w:rsid w:val="00CE4432"/>
    <w:rsid w:val="00D17466"/>
    <w:rsid w:val="00D505F8"/>
    <w:rsid w:val="00D60CF3"/>
    <w:rsid w:val="00D865C2"/>
    <w:rsid w:val="00DB2A5C"/>
    <w:rsid w:val="00DE2B73"/>
    <w:rsid w:val="00E02FE6"/>
    <w:rsid w:val="00E156EB"/>
    <w:rsid w:val="00E907C4"/>
    <w:rsid w:val="00EB7BCA"/>
    <w:rsid w:val="00EC7755"/>
    <w:rsid w:val="00F16945"/>
    <w:rsid w:val="00F45ECB"/>
    <w:rsid w:val="00F52EAF"/>
    <w:rsid w:val="00F6117C"/>
    <w:rsid w:val="00F77F2C"/>
    <w:rsid w:val="00F974AD"/>
    <w:rsid w:val="00FD0B1B"/>
    <w:rsid w:val="00FF6BB5"/>
    <w:rsid w:val="115D64CD"/>
    <w:rsid w:val="5493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7407</Words>
  <Characters>8109</Characters>
  <Lines>60</Lines>
  <Paragraphs>17</Paragraphs>
  <TotalTime>23</TotalTime>
  <ScaleCrop>false</ScaleCrop>
  <LinksUpToDate>false</LinksUpToDate>
  <CharactersWithSpaces>8221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2025-02-19T02:05:39Z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eyJoZGlkIjoiZTc0ZTJlNWFlOTg1NTQ0ZTRjYTA0M2U1YzEwZWFlZjMiLCJ1c2VySWQiOiI1MjU5NzMxNTcifQ==</vt:lpwstr>
  </property>
  <property fmtid="{D5CDD505-2E9C-101B-9397-08002B2CF9AE}" pid="3" name="KSOProductBuildVer">
    <vt:lpwstr>2052-11.8.2.8808</vt:lpwstr>
  </property>
  <property fmtid="{D5CDD505-2E9C-101B-9397-08002B2CF9AE}" pid="4" name="ICV">
    <vt:lpwstr>A3E80A7EC91443D28B334C3555690158_12</vt:lpwstr>
  </property>
</Properties>
</file>