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val="en-US" w:eastAsia="zh-CN"/>
        </w:rPr>
        <w:t>烈山滨湖土地储备发展中心</w:t>
      </w:r>
      <w:r>
        <w:rPr>
          <w:rFonts w:hint="eastAsia" w:ascii="TimesNewRoman" w:hAnsi="TimesNewRoman" w:eastAsia="华文中宋" w:cs="TimesNewRoman"/>
          <w:b/>
          <w:sz w:val="44"/>
          <w:szCs w:val="44"/>
        </w:rPr>
        <w:t>2025年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单位</w:t>
      </w:r>
      <w:r>
        <w:rPr>
          <w:rFonts w:hint="eastAsia" w:ascii="TimesNewRoman" w:hAnsi="TimesNewRoman" w:eastAsia="华文中宋" w:cs="TimesNewRoman"/>
          <w:b/>
          <w:sz w:val="44"/>
          <w:szCs w:val="44"/>
        </w:rPr>
        <w:t>预算</w:t>
      </w:r>
    </w:p>
    <w:p/>
    <w:p/>
    <w:p/>
    <w:p/>
    <w:p/>
    <w:p/>
    <w:p/>
    <w:p/>
    <w:p/>
    <w:p/>
    <w:p/>
    <w:p/>
    <w:p/>
    <w:p/>
    <w:p/>
    <w:p/>
    <w:p/>
    <w:p/>
    <w:p/>
    <w:p/>
    <w:p/>
    <w:p/>
    <w:p>
      <w:pPr>
        <w:pStyle w:val="6"/>
        <w:adjustRightInd w:val="0"/>
        <w:snapToGrid w:val="0"/>
        <w:spacing w:line="560" w:lineRule="exact"/>
        <w:jc w:val="center"/>
        <w:rPr>
          <w:rFonts w:ascii="TimesNewRoman" w:hAnsi="TimesNewRoman" w:eastAsia="黑体" w:cs="TimesNewRoman"/>
          <w:bCs/>
          <w:sz w:val="44"/>
          <w:szCs w:val="44"/>
        </w:rPr>
      </w:pPr>
    </w:p>
    <w:p>
      <w:pPr>
        <w:pStyle w:val="6"/>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p/>
    <w:p>
      <w:pPr>
        <w:pStyle w:val="6"/>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预算构成</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烈山滨湖土地储备发展中心</w:t>
      </w:r>
      <w:r>
        <w:rPr>
          <w:rFonts w:hint="eastAsia" w:ascii="TimesNewRoman" w:hAnsi="TimesNewRoman" w:eastAsia="仿宋_GB2312" w:cs="TimesNewRoman"/>
          <w:bCs/>
          <w:sz w:val="32"/>
          <w:szCs w:val="32"/>
        </w:rPr>
        <w:t>2025年收支总表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烈山滨湖土地储备发展中心</w:t>
      </w:r>
      <w:r>
        <w:rPr>
          <w:rFonts w:hint="eastAsia" w:ascii="TimesNewRoman" w:hAnsi="TimesNewRoman" w:eastAsia="仿宋_GB2312" w:cs="TimesNewRoman"/>
          <w:bCs/>
          <w:sz w:val="32"/>
          <w:szCs w:val="32"/>
        </w:rPr>
        <w:t>2025年收入总表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烈山滨湖土地储备发展中心</w:t>
      </w:r>
      <w:r>
        <w:rPr>
          <w:rFonts w:hint="eastAsia" w:ascii="TimesNewRoman" w:hAnsi="TimesNewRoman" w:eastAsia="仿宋_GB2312" w:cs="TimesNewRoman"/>
          <w:bCs/>
          <w:sz w:val="32"/>
          <w:szCs w:val="32"/>
        </w:rPr>
        <w:t>2025年支出总表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烈山滨湖土地储备发展中心</w:t>
      </w:r>
      <w:r>
        <w:rPr>
          <w:rFonts w:hint="eastAsia" w:ascii="TimesNewRoman" w:hAnsi="TimesNewRoman" w:eastAsia="仿宋_GB2312" w:cs="TimesNewRoman"/>
          <w:bCs/>
          <w:sz w:val="32"/>
          <w:szCs w:val="32"/>
        </w:rPr>
        <w:t>2025年财政拨款收支总表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烈山滨湖土地储备发展中心</w:t>
      </w:r>
      <w:r>
        <w:rPr>
          <w:rFonts w:hint="eastAsia" w:ascii="TimesNewRoman" w:hAnsi="TimesNewRoman" w:eastAsia="仿宋_GB2312" w:cs="TimesNewRoman"/>
          <w:bCs/>
          <w:sz w:val="32"/>
          <w:szCs w:val="32"/>
        </w:rPr>
        <w:t>2025年一般公共预算支出表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烈山滨湖土地储备发展中心</w:t>
      </w:r>
      <w:r>
        <w:rPr>
          <w:rFonts w:hint="eastAsia" w:ascii="TimesNewRoman" w:hAnsi="TimesNewRoman" w:eastAsia="仿宋_GB2312" w:cs="TimesNewRoman"/>
          <w:bCs/>
          <w:sz w:val="32"/>
          <w:szCs w:val="32"/>
        </w:rPr>
        <w:t>2025年一般公共预算基本支出表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烈山滨湖土地储备发展中心</w:t>
      </w:r>
      <w:r>
        <w:rPr>
          <w:rFonts w:hint="eastAsia" w:ascii="TimesNewRoman" w:hAnsi="TimesNewRoman" w:eastAsia="仿宋_GB2312" w:cs="TimesNewRoman"/>
          <w:bCs/>
          <w:sz w:val="32"/>
          <w:szCs w:val="32"/>
        </w:rPr>
        <w:t>2025年政府性基金预算支出表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烈山滨湖土地储备发展中心</w:t>
      </w:r>
      <w:r>
        <w:rPr>
          <w:rFonts w:hint="eastAsia" w:ascii="TimesNewRoman" w:hAnsi="TimesNewRoman" w:eastAsia="仿宋_GB2312" w:cs="TimesNewRoman"/>
          <w:bCs/>
          <w:sz w:val="32"/>
          <w:szCs w:val="32"/>
        </w:rPr>
        <w:t>2025年国有资本经营预算支出表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烈山滨湖土地储备发展中心</w:t>
      </w:r>
      <w:r>
        <w:rPr>
          <w:rFonts w:hint="eastAsia" w:ascii="TimesNewRoman" w:hAnsi="TimesNewRoman" w:eastAsia="仿宋_GB2312" w:cs="TimesNewRoman"/>
          <w:bCs/>
          <w:sz w:val="32"/>
          <w:szCs w:val="32"/>
        </w:rPr>
        <w:t>2025年项目支出表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烈山滨湖土地储备发展中心</w:t>
      </w:r>
      <w:r>
        <w:rPr>
          <w:rFonts w:hint="eastAsia" w:ascii="TimesNewRoman" w:hAnsi="TimesNewRoman" w:eastAsia="仿宋_GB2312" w:cs="TimesNewRoman"/>
          <w:bCs/>
          <w:sz w:val="32"/>
          <w:szCs w:val="32"/>
        </w:rPr>
        <w:t>2025年政府采购支出表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烈山滨湖土地储备发展中心</w:t>
      </w:r>
      <w:r>
        <w:rPr>
          <w:rFonts w:hint="eastAsia" w:ascii="TimesNewRoman" w:hAnsi="TimesNewRoman" w:eastAsia="仿宋_GB2312" w:cs="TimesNewRoman"/>
          <w:bCs/>
          <w:sz w:val="32"/>
          <w:szCs w:val="32"/>
        </w:rPr>
        <w:t>2025年政府购买服务支出表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烈山滨湖土地储备发展中心</w:t>
      </w:r>
      <w:r>
        <w:rPr>
          <w:rFonts w:ascii="TimesNewRoman" w:hAnsi="TimesNewRoman" w:eastAsia="仿宋_GB2312" w:cs="TimesNewRoman"/>
          <w:bCs/>
          <w:sz w:val="32"/>
          <w:szCs w:val="32"/>
        </w:rPr>
        <w:t>2025年通用资产配置支出表</w:t>
      </w:r>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预算情况说明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pPr>
        <w:pStyle w:val="6"/>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12、关于2025年通用资产配置支出表的说明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lang w:val="en-US" w:eastAsia="zh-CN"/>
        </w:rPr>
        <w:t>13、</w:t>
      </w:r>
      <w:r>
        <w:rPr>
          <w:rFonts w:hint="eastAsia" w:ascii="TimesNewRoman" w:hAnsi="TimesNewRoman" w:eastAsia="仿宋_GB2312" w:cs="TimesNewRoman"/>
          <w:bCs/>
          <w:sz w:val="32"/>
          <w:szCs w:val="32"/>
        </w:rPr>
        <w:t>其他重要事项情况说明</w:t>
      </w:r>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烈山滨湖土地储备发展中心</w:t>
      </w:r>
      <w:r>
        <w:rPr>
          <w:rFonts w:hint="eastAsia" w:ascii="TimesNewRoman" w:hAnsi="TimesNewRoman" w:eastAsia="仿宋_GB2312" w:cs="TimesNewRoman"/>
          <w:bCs/>
          <w:sz w:val="32"/>
          <w:szCs w:val="32"/>
        </w:rPr>
        <w:t>2025年部门预算纳入绩效考评项目表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烈山滨湖土地储备发展中心</w:t>
      </w:r>
      <w:r>
        <w:rPr>
          <w:rFonts w:hint="eastAsia" w:ascii="TimesNewRoman" w:hAnsi="TimesNewRoman" w:eastAsia="仿宋_GB2312" w:cs="TimesNewRoman"/>
          <w:bCs/>
          <w:sz w:val="32"/>
          <w:szCs w:val="32"/>
        </w:rPr>
        <w:t>2025年部门预算专项资金管理清单（专栏公开）</w:t>
      </w:r>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6"/>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w:t>
      </w:r>
      <w:r>
        <w:rPr>
          <w:rFonts w:hint="eastAsia" w:ascii="TimesNewRoman" w:hAnsi="TimesNewRoman" w:eastAsia="仿宋_GB2312" w:cs="TimesNewRoman"/>
          <w:bCs/>
          <w:sz w:val="32"/>
          <w:szCs w:val="32"/>
          <w:lang w:val="en-US" w:eastAsia="zh-CN"/>
        </w:rPr>
        <w:t>负责烈山区滨湖内国有土地收购储备方案的组织实施</w:t>
      </w:r>
      <w:r>
        <w:rPr>
          <w:rFonts w:hint="eastAsia" w:ascii="TimesNewRoman" w:hAnsi="TimesNewRoman" w:eastAsia="仿宋_GB2312" w:cs="TimesNewRoman"/>
          <w:bCs/>
          <w:sz w:val="32"/>
          <w:szCs w:val="32"/>
        </w:rPr>
        <w:t>。</w:t>
      </w:r>
    </w:p>
    <w:p>
      <w:pPr>
        <w:pStyle w:val="6"/>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（二）</w:t>
      </w:r>
      <w:r>
        <w:rPr>
          <w:rFonts w:hint="eastAsia" w:ascii="TimesNewRoman" w:hAnsi="TimesNewRoman" w:eastAsia="仿宋_GB2312" w:cs="TimesNewRoman"/>
          <w:bCs/>
          <w:sz w:val="32"/>
          <w:szCs w:val="32"/>
          <w:lang w:val="en-US" w:eastAsia="zh-CN"/>
        </w:rPr>
        <w:t>负责储备土地前期开发、保护、管理、融资，编制烈山区滨湖储备土地出让方案</w:t>
      </w:r>
      <w:r>
        <w:rPr>
          <w:rFonts w:hint="eastAsia" w:ascii="TimesNewRoman" w:hAnsi="TimesNewRoman" w:eastAsia="仿宋_GB2312" w:cs="TimesNewRoman"/>
          <w:bCs/>
          <w:sz w:val="32"/>
          <w:szCs w:val="32"/>
        </w:rPr>
        <w:t>。</w:t>
      </w:r>
    </w:p>
    <w:p>
      <w:pPr>
        <w:pStyle w:val="6"/>
        <w:adjustRightInd w:val="0"/>
        <w:snapToGrid w:val="0"/>
        <w:spacing w:line="560" w:lineRule="exact"/>
        <w:ind w:firstLine="627" w:firstLineChars="196"/>
        <w:rPr>
          <w:rFonts w:hint="eastAsia" w:ascii="TimesNewRoman" w:hAnsi="TimesNewRoman" w:eastAsia="仿宋_GB2312" w:cs="TimesNewRoman"/>
          <w:bCs/>
          <w:sz w:val="32"/>
          <w:szCs w:val="32"/>
          <w:lang w:val="en-US" w:eastAsia="zh-CN"/>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lang w:val="en-US" w:eastAsia="zh-CN"/>
        </w:rPr>
        <w:t>三）负责烈山区滨湖土地储备资金的管理和使用。</w:t>
      </w:r>
    </w:p>
    <w:p>
      <w:pPr>
        <w:pStyle w:val="6"/>
        <w:adjustRightInd w:val="0"/>
        <w:snapToGrid w:val="0"/>
        <w:spacing w:line="560" w:lineRule="exact"/>
        <w:ind w:firstLine="627" w:firstLineChars="196"/>
        <w:rPr>
          <w:rFonts w:hint="eastAsia" w:ascii="TimesNewRoman" w:hAnsi="TimesNewRoman" w:eastAsia="仿宋_GB2312" w:cs="TimesNewRoman"/>
          <w:bCs/>
          <w:sz w:val="32"/>
          <w:szCs w:val="32"/>
          <w:lang w:val="en-US" w:eastAsia="zh-CN"/>
        </w:rPr>
      </w:pPr>
      <w:r>
        <w:rPr>
          <w:rFonts w:hint="eastAsia" w:ascii="TimesNewRoman" w:hAnsi="TimesNewRoman" w:eastAsia="仿宋_GB2312" w:cs="TimesNewRoman"/>
          <w:bCs/>
          <w:sz w:val="32"/>
          <w:szCs w:val="32"/>
          <w:lang w:val="en-US" w:eastAsia="zh-CN"/>
        </w:rPr>
        <w:t>（四）受主管部门委托，组织做好市辖区土地、矿产资源、规划、测绘等巡查工作，对市辖区上报的违法线索开展重点巡查。</w:t>
      </w:r>
    </w:p>
    <w:p>
      <w:pPr>
        <w:pStyle w:val="6"/>
        <w:adjustRightInd w:val="0"/>
        <w:snapToGrid w:val="0"/>
        <w:spacing w:line="560" w:lineRule="exact"/>
        <w:ind w:firstLine="627" w:firstLineChars="196"/>
        <w:rPr>
          <w:rFonts w:hint="eastAsia" w:ascii="TimesNewRoman" w:hAnsi="TimesNewRoman" w:eastAsia="仿宋_GB2312" w:cs="TimesNewRoman"/>
          <w:bCs/>
          <w:sz w:val="32"/>
          <w:szCs w:val="32"/>
          <w:lang w:val="en-US" w:eastAsia="zh-CN"/>
        </w:rPr>
      </w:pPr>
      <w:r>
        <w:rPr>
          <w:rFonts w:hint="eastAsia" w:ascii="TimesNewRoman" w:hAnsi="TimesNewRoman" w:eastAsia="仿宋_GB2312" w:cs="TimesNewRoman"/>
          <w:bCs/>
          <w:sz w:val="32"/>
          <w:szCs w:val="32"/>
          <w:lang w:val="en-US" w:eastAsia="zh-CN"/>
        </w:rPr>
        <w:t>（五）配合做好违法行为的制止、线索移交、调查取证、验收工作。</w:t>
      </w:r>
    </w:p>
    <w:p>
      <w:pPr>
        <w:pStyle w:val="6"/>
        <w:adjustRightInd w:val="0"/>
        <w:snapToGrid w:val="0"/>
        <w:spacing w:line="560" w:lineRule="exact"/>
        <w:ind w:firstLine="627" w:firstLineChars="196"/>
        <w:rPr>
          <w:rFonts w:hint="default" w:ascii="TimesNewRoman" w:hAnsi="TimesNewRoman" w:eastAsia="仿宋_GB2312" w:cs="TimesNewRoman"/>
          <w:bCs/>
          <w:sz w:val="32"/>
          <w:szCs w:val="32"/>
          <w:lang w:val="en-US" w:eastAsia="zh-CN"/>
        </w:rPr>
      </w:pPr>
      <w:r>
        <w:rPr>
          <w:rFonts w:hint="eastAsia" w:ascii="TimesNewRoman" w:hAnsi="TimesNewRoman" w:eastAsia="仿宋_GB2312" w:cs="TimesNewRoman"/>
          <w:bCs/>
          <w:sz w:val="32"/>
          <w:szCs w:val="32"/>
          <w:lang w:val="en-US" w:eastAsia="zh-CN"/>
        </w:rPr>
        <w:t>（六）负责辖区内国家自然资源督察南京局、省级督察等发现问题的核实举证、日常督导工作。</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pPr>
        <w:pStyle w:val="6"/>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烈山滨湖土地储备发展中心</w:t>
      </w:r>
      <w:r>
        <w:rPr>
          <w:rFonts w:hint="eastAsia" w:ascii="TimesNewRoman" w:hAnsi="TimesNewRoman" w:eastAsia="仿宋_GB2312" w:cs="TimesNewRoman"/>
          <w:sz w:val="32"/>
          <w:szCs w:val="32"/>
        </w:rPr>
        <w:t>2025年度</w:t>
      </w:r>
      <w:r>
        <w:rPr>
          <w:rFonts w:hint="eastAsia" w:ascii="TimesNewRoman" w:hAnsi="TimesNewRoman" w:eastAsia="仿宋_GB2312" w:cs="TimesNewRoman"/>
          <w:sz w:val="32"/>
          <w:szCs w:val="32"/>
          <w:lang w:val="en-US" w:eastAsia="zh-CN"/>
        </w:rPr>
        <w:t>单位</w:t>
      </w:r>
      <w:r>
        <w:rPr>
          <w:rFonts w:hint="eastAsia" w:ascii="TimesNewRoman" w:hAnsi="TimesNewRoman" w:eastAsia="仿宋_GB2312" w:cs="TimesNewRoman"/>
          <w:sz w:val="32"/>
          <w:szCs w:val="32"/>
        </w:rPr>
        <w:t>预算仅包括本级预算，无其他下属单位预算。</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pPr>
        <w:pStyle w:val="6"/>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w:t>
      </w:r>
      <w:r>
        <w:rPr>
          <w:rFonts w:hint="eastAsia" w:ascii="TimesNewRoman" w:hAnsi="TimesNewRoman" w:eastAsia="仿宋_GB2312" w:cs="TimesNewRoman"/>
          <w:bCs/>
          <w:sz w:val="32"/>
          <w:szCs w:val="32"/>
          <w:lang w:val="en-US" w:eastAsia="zh-CN"/>
        </w:rPr>
        <w:t>组织实施烈山区滨湖内国有土地收购储备方案</w:t>
      </w:r>
      <w:r>
        <w:rPr>
          <w:rFonts w:hint="eastAsia" w:ascii="TimesNewRoman" w:hAnsi="TimesNewRoman" w:eastAsia="仿宋_GB2312" w:cs="TimesNewRoman"/>
          <w:bCs/>
          <w:sz w:val="32"/>
          <w:szCs w:val="32"/>
        </w:rPr>
        <w:t>。</w:t>
      </w:r>
    </w:p>
    <w:p>
      <w:pPr>
        <w:pStyle w:val="6"/>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（二）</w:t>
      </w:r>
      <w:r>
        <w:rPr>
          <w:rFonts w:hint="eastAsia" w:ascii="TimesNewRoman" w:hAnsi="TimesNewRoman" w:eastAsia="仿宋_GB2312" w:cs="TimesNewRoman"/>
          <w:bCs/>
          <w:sz w:val="32"/>
          <w:szCs w:val="32"/>
          <w:lang w:val="en-US" w:eastAsia="zh-CN"/>
        </w:rPr>
        <w:t>做好储备土地前期开发、保护、管理、融资，编制烈山区滨湖储备土地出让方案</w:t>
      </w:r>
      <w:r>
        <w:rPr>
          <w:rFonts w:hint="eastAsia" w:ascii="TimesNewRoman" w:hAnsi="TimesNewRoman" w:eastAsia="仿宋_GB2312" w:cs="TimesNewRoman"/>
          <w:bCs/>
          <w:sz w:val="32"/>
          <w:szCs w:val="32"/>
        </w:rPr>
        <w:t>。</w:t>
      </w:r>
    </w:p>
    <w:p>
      <w:pPr>
        <w:pStyle w:val="6"/>
        <w:adjustRightInd w:val="0"/>
        <w:snapToGrid w:val="0"/>
        <w:spacing w:line="560" w:lineRule="exact"/>
        <w:ind w:firstLine="627" w:firstLineChars="196"/>
        <w:rPr>
          <w:rFonts w:hint="eastAsia" w:ascii="TimesNewRoman" w:hAnsi="TimesNewRoman" w:eastAsia="仿宋_GB2312" w:cs="TimesNewRoman"/>
          <w:bCs/>
          <w:sz w:val="32"/>
          <w:szCs w:val="32"/>
          <w:lang w:val="en-US" w:eastAsia="zh-CN"/>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lang w:val="en-US" w:eastAsia="zh-CN"/>
        </w:rPr>
        <w:t>三）做好烈山区滨湖土地储备资金的管理和使用。</w:t>
      </w:r>
    </w:p>
    <w:p>
      <w:pPr>
        <w:pStyle w:val="6"/>
        <w:adjustRightInd w:val="0"/>
        <w:snapToGrid w:val="0"/>
        <w:spacing w:line="560" w:lineRule="exact"/>
        <w:ind w:firstLine="627" w:firstLineChars="196"/>
        <w:rPr>
          <w:rFonts w:hint="eastAsia" w:ascii="TimesNewRoman" w:hAnsi="TimesNewRoman" w:eastAsia="仿宋_GB2312" w:cs="TimesNewRoman"/>
          <w:bCs/>
          <w:sz w:val="32"/>
          <w:szCs w:val="32"/>
          <w:lang w:val="en-US" w:eastAsia="zh-CN"/>
        </w:rPr>
      </w:pPr>
      <w:r>
        <w:rPr>
          <w:rFonts w:hint="eastAsia" w:ascii="TimesNewRoman" w:hAnsi="TimesNewRoman" w:eastAsia="仿宋_GB2312" w:cs="TimesNewRoman"/>
          <w:bCs/>
          <w:sz w:val="32"/>
          <w:szCs w:val="32"/>
          <w:lang w:val="en-US" w:eastAsia="zh-CN"/>
        </w:rPr>
        <w:t>（四）受主管部门委托，组织做好市辖区土地、矿产资源、规划、测绘等巡查工作，对市辖区上报的违法线索开展重点巡查。</w:t>
      </w:r>
    </w:p>
    <w:p>
      <w:pPr>
        <w:pStyle w:val="6"/>
        <w:adjustRightInd w:val="0"/>
        <w:snapToGrid w:val="0"/>
        <w:spacing w:line="560" w:lineRule="exact"/>
        <w:ind w:firstLine="627" w:firstLineChars="196"/>
        <w:rPr>
          <w:rFonts w:hint="eastAsia" w:ascii="TimesNewRoman" w:hAnsi="TimesNewRoman" w:eastAsia="仿宋_GB2312" w:cs="TimesNewRoman"/>
          <w:bCs/>
          <w:sz w:val="32"/>
          <w:szCs w:val="32"/>
          <w:lang w:val="en-US" w:eastAsia="zh-CN"/>
        </w:rPr>
      </w:pPr>
      <w:r>
        <w:rPr>
          <w:rFonts w:hint="eastAsia" w:ascii="TimesNewRoman" w:hAnsi="TimesNewRoman" w:eastAsia="仿宋_GB2312" w:cs="TimesNewRoman"/>
          <w:bCs/>
          <w:sz w:val="32"/>
          <w:szCs w:val="32"/>
          <w:lang w:val="en-US" w:eastAsia="zh-CN"/>
        </w:rPr>
        <w:t>（五）配合做好违法行为的制止、线索移交、调查取证、验收工作。</w:t>
      </w:r>
    </w:p>
    <w:p>
      <w:pPr>
        <w:pStyle w:val="6"/>
        <w:adjustRightInd w:val="0"/>
        <w:snapToGrid w:val="0"/>
        <w:spacing w:line="560" w:lineRule="exact"/>
        <w:ind w:firstLine="627" w:firstLineChars="196"/>
        <w:rPr>
          <w:rFonts w:hint="default" w:ascii="TimesNewRoman" w:hAnsi="TimesNewRoman" w:eastAsia="仿宋_GB2312" w:cs="TimesNewRoman"/>
          <w:bCs/>
          <w:sz w:val="32"/>
          <w:szCs w:val="32"/>
          <w:lang w:val="en-US" w:eastAsia="zh-CN"/>
        </w:rPr>
      </w:pPr>
      <w:r>
        <w:rPr>
          <w:rFonts w:hint="eastAsia" w:ascii="TimesNewRoman" w:hAnsi="TimesNewRoman" w:eastAsia="仿宋_GB2312" w:cs="TimesNewRoman"/>
          <w:bCs/>
          <w:sz w:val="32"/>
          <w:szCs w:val="32"/>
          <w:lang w:val="en-US" w:eastAsia="zh-CN"/>
        </w:rPr>
        <w:t>（六）做好辖区内国家自然资源督察南京局、省级督察等发现问题的核实举证、日常督导工作。</w:t>
      </w:r>
    </w:p>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pPr>
        <w:pStyle w:val="6"/>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pPr>
        <w:pStyle w:val="6"/>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烈山滨湖土地储备发展中心</w:t>
      </w:r>
      <w:r>
        <w:rPr>
          <w:rFonts w:hint="eastAsia" w:ascii="TimesNewRoman" w:hAnsi="TimesNewRoman" w:eastAsia="仿宋_GB2312" w:cs="TimesNewRoman"/>
          <w:sz w:val="32"/>
          <w:szCs w:val="32"/>
        </w:rPr>
        <w:t>所有收入和支出均纳入</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预算管理。淮北市</w:t>
      </w:r>
      <w:r>
        <w:rPr>
          <w:rFonts w:hint="eastAsia" w:ascii="TimesNewRoman" w:hAnsi="TimesNewRoman" w:eastAsia="仿宋_GB2312" w:cs="TimesNewRoman"/>
          <w:sz w:val="32"/>
          <w:szCs w:val="32"/>
          <w:lang w:eastAsia="zh-CN"/>
        </w:rPr>
        <w:t>烈山滨湖土地储备发展中心</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sz w:val="32"/>
          <w:szCs w:val="32"/>
          <w:lang w:val="en-US" w:eastAsia="zh-CN"/>
        </w:rPr>
        <w:t>538.26</w:t>
      </w:r>
      <w:r>
        <w:rPr>
          <w:rFonts w:hint="eastAsia" w:ascii="TimesNewRoman" w:hAnsi="TimesNewRoman" w:eastAsia="仿宋_GB2312" w:cs="TimesNewRoman"/>
          <w:sz w:val="32"/>
          <w:szCs w:val="32"/>
        </w:rPr>
        <w:t>万元，收入包括一般公共预算拨款收入、政府性基金预算拨款收入，支出包括：社会保障和就业支出、卫生健康支出、</w:t>
      </w:r>
      <w:r>
        <w:rPr>
          <w:rFonts w:hint="eastAsia" w:ascii="TimesNewRoman" w:hAnsi="TimesNewRoman" w:eastAsia="仿宋_GB2312" w:cs="TimesNewRoman"/>
          <w:sz w:val="32"/>
          <w:szCs w:val="32"/>
          <w:lang w:val="en-US" w:eastAsia="zh-CN"/>
        </w:rPr>
        <w:t>城乡社区支出、自然资源海洋气象等支出、</w:t>
      </w:r>
      <w:r>
        <w:rPr>
          <w:rFonts w:hint="eastAsia" w:ascii="TimesNewRoman" w:hAnsi="TimesNewRoman" w:eastAsia="仿宋_GB2312" w:cs="TimesNewRoman"/>
          <w:sz w:val="32"/>
          <w:szCs w:val="32"/>
        </w:rPr>
        <w:t>住房保障支出。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烈山滨湖土地储备发展中心</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kern w:val="0"/>
          <w:sz w:val="32"/>
          <w:szCs w:val="32"/>
          <w:lang w:val="en-US" w:eastAsia="zh-CN"/>
        </w:rPr>
        <w:t>538.26</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538.26</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kern w:val="0"/>
          <w:sz w:val="32"/>
          <w:szCs w:val="32"/>
          <w:lang w:val="en-US" w:eastAsia="zh-CN"/>
        </w:rPr>
        <w:t>538.26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496.26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92.20</w:t>
      </w:r>
      <w:r>
        <w:rPr>
          <w:rFonts w:hint="eastAsia" w:ascii="TimesNewRoman" w:hAnsi="TimesNewRoman" w:eastAsia="仿宋_GB2312" w:cs="TimesNewRoman"/>
          <w:kern w:val="0"/>
          <w:sz w:val="32"/>
          <w:szCs w:val="32"/>
        </w:rPr>
        <w:t>%，比2024年预算</w:t>
      </w:r>
      <w:r>
        <w:rPr>
          <w:rFonts w:hint="eastAsia" w:ascii="TimesNewRoman" w:hAnsi="TimesNewRoman" w:eastAsia="仿宋_GB2312" w:cs="TimesNewRoman"/>
          <w:kern w:val="0"/>
          <w:sz w:val="32"/>
          <w:szCs w:val="32"/>
          <w:lang w:val="en-US" w:eastAsia="zh-CN"/>
        </w:rPr>
        <w:t>增加496.26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增长100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该单位是新成立的单位，2024年无预算</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42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7.80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42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该单位是新成立的单位，2024年无预算</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与</w:t>
      </w:r>
      <w:r>
        <w:rPr>
          <w:rFonts w:hint="eastAsia" w:ascii="TimesNewRoman" w:hAnsi="TimesNewRoman" w:eastAsia="仿宋_GB2312" w:cs="TimesNewRoman"/>
          <w:kern w:val="0"/>
          <w:sz w:val="32"/>
          <w:szCs w:val="32"/>
        </w:rPr>
        <w:t>2024年预算</w:t>
      </w:r>
      <w:r>
        <w:rPr>
          <w:rFonts w:hint="eastAsia" w:ascii="TimesNewRoman" w:hAnsi="TimesNewRoman" w:eastAsia="仿宋_GB2312" w:cs="TimesNewRoman"/>
          <w:kern w:val="0"/>
          <w:sz w:val="32"/>
          <w:szCs w:val="32"/>
          <w:lang w:val="en-US" w:eastAsia="zh-CN"/>
        </w:rPr>
        <w:t>一致</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无</w:t>
      </w:r>
      <w:r>
        <w:rPr>
          <w:rFonts w:hint="eastAsia" w:ascii="TimesNewRoman" w:hAnsi="TimesNewRoman" w:eastAsia="仿宋_GB2312" w:cs="TimesNewRoman"/>
          <w:kern w:val="0"/>
          <w:sz w:val="32"/>
          <w:szCs w:val="32"/>
        </w:rPr>
        <w:t>财政专户管理资金收入。</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烈山滨湖土地储备发展中心</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538.26</w:t>
      </w:r>
      <w:r>
        <w:rPr>
          <w:rFonts w:hint="eastAsia" w:ascii="TimesNewRoman" w:hAnsi="TimesNewRoman" w:eastAsia="仿宋_GB2312" w:cs="TimesNewRoman"/>
          <w:kern w:val="0"/>
          <w:sz w:val="32"/>
          <w:szCs w:val="32"/>
        </w:rPr>
        <w:t>万元，比2024年预算</w:t>
      </w:r>
      <w:r>
        <w:rPr>
          <w:rFonts w:hint="eastAsia" w:ascii="TimesNewRoman" w:hAnsi="TimesNewRoman" w:eastAsia="仿宋_GB2312" w:cs="TimesNewRoman"/>
          <w:kern w:val="0"/>
          <w:sz w:val="32"/>
          <w:szCs w:val="32"/>
          <w:lang w:val="en-US" w:eastAsia="zh-CN"/>
        </w:rPr>
        <w:t>增加538.26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增长100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该单位是新成立的单位，2024年无预算</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496.26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92.20</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42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7.80</w:t>
      </w:r>
      <w:r>
        <w:rPr>
          <w:rFonts w:hint="eastAsia" w:ascii="TimesNewRoman" w:hAnsi="TimesNewRoman" w:eastAsia="仿宋_GB2312" w:cs="TimesNewRoman"/>
          <w:kern w:val="0"/>
          <w:sz w:val="32"/>
          <w:szCs w:val="32"/>
        </w:rPr>
        <w:t>%，主要用于</w:t>
      </w:r>
      <w:r>
        <w:rPr>
          <w:rFonts w:hint="eastAsia" w:ascii="TimesNewRoman" w:hAnsi="TimesNewRoman" w:eastAsia="仿宋_GB2312" w:cs="TimesNewRoman"/>
          <w:kern w:val="0"/>
          <w:sz w:val="32"/>
          <w:szCs w:val="32"/>
          <w:lang w:val="en-US" w:eastAsia="zh-CN"/>
        </w:rPr>
        <w:t>项目支出</w:t>
      </w:r>
      <w:r>
        <w:rPr>
          <w:rFonts w:hint="eastAsia" w:ascii="TimesNewRoman" w:hAnsi="TimesNewRoman" w:eastAsia="仿宋_GB2312" w:cs="TimesNewRoman"/>
          <w:kern w:val="0"/>
          <w:sz w:val="32"/>
          <w:szCs w:val="32"/>
        </w:rPr>
        <w:t>。</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烈山滨湖土地储备发展中心</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538.26</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496.26</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42</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538.26</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93.23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17.32</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21.30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3.96</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城乡社区支出42.00万元，</w:t>
      </w:r>
      <w:r>
        <w:rPr>
          <w:rFonts w:hint="eastAsia" w:ascii="TimesNewRoman" w:hAnsi="TimesNewRoman" w:eastAsia="仿宋_GB2312" w:cs="TimesNewRoman"/>
          <w:kern w:val="0"/>
          <w:sz w:val="32"/>
          <w:szCs w:val="32"/>
        </w:rPr>
        <w:t>占</w:t>
      </w:r>
      <w:r>
        <w:rPr>
          <w:rFonts w:hint="eastAsia" w:ascii="TimesNewRoman" w:hAnsi="TimesNewRoman" w:eastAsia="仿宋_GB2312" w:cs="TimesNewRoman"/>
          <w:kern w:val="0"/>
          <w:sz w:val="32"/>
          <w:szCs w:val="32"/>
          <w:lang w:val="en-US" w:eastAsia="zh-CN"/>
        </w:rPr>
        <w:t>7.80</w:t>
      </w:r>
      <w:r>
        <w:rPr>
          <w:rFonts w:hint="eastAsia" w:ascii="TimesNewRoman" w:hAnsi="TimesNewRoman" w:eastAsia="仿宋_GB2312" w:cs="TimesNewRoman"/>
          <w:kern w:val="0"/>
          <w:sz w:val="32"/>
          <w:szCs w:val="32"/>
        </w:rPr>
        <w:t>%；</w:t>
      </w:r>
      <w:r>
        <w:rPr>
          <w:rFonts w:hint="eastAsia" w:ascii="TimesNewRoman" w:hAnsi="TimesNewRoman" w:eastAsia="仿宋_GB2312" w:cs="TimesNewRoman"/>
          <w:sz w:val="32"/>
          <w:szCs w:val="32"/>
          <w:lang w:val="en-US" w:eastAsia="zh-CN"/>
        </w:rPr>
        <w:t>自然资源海洋气象等支出312.50万元，</w:t>
      </w:r>
      <w:r>
        <w:rPr>
          <w:rFonts w:hint="eastAsia" w:ascii="TimesNewRoman" w:hAnsi="TimesNewRoman" w:eastAsia="仿宋_GB2312" w:cs="TimesNewRoman"/>
          <w:kern w:val="0"/>
          <w:sz w:val="32"/>
          <w:szCs w:val="32"/>
        </w:rPr>
        <w:t>占</w:t>
      </w:r>
      <w:r>
        <w:rPr>
          <w:rFonts w:hint="eastAsia" w:ascii="TimesNewRoman" w:hAnsi="TimesNewRoman" w:eastAsia="仿宋_GB2312" w:cs="TimesNewRoman"/>
          <w:kern w:val="0"/>
          <w:sz w:val="32"/>
          <w:szCs w:val="32"/>
          <w:lang w:val="en-US" w:eastAsia="zh-CN"/>
        </w:rPr>
        <w:t>58.06</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69.22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12.86</w:t>
      </w:r>
      <w:r>
        <w:rPr>
          <w:rFonts w:hint="eastAsia" w:ascii="TimesNewRoman" w:hAnsi="TimesNewRoman" w:eastAsia="仿宋_GB2312" w:cs="TimesNewRoman"/>
          <w:kern w:val="0"/>
          <w:sz w:val="32"/>
          <w:szCs w:val="32"/>
        </w:rPr>
        <w:t>%。</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pPr>
        <w:pStyle w:val="6"/>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烈山滨湖土地储备发展中心</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496.26</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496.26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kern w:val="0"/>
          <w:sz w:val="32"/>
          <w:szCs w:val="32"/>
          <w:lang w:val="en-US" w:eastAsia="zh-CN"/>
        </w:rPr>
        <w:t>该单位是新成立的单位，2024年无预算</w:t>
      </w:r>
      <w:r>
        <w:rPr>
          <w:rFonts w:hint="eastAsia" w:ascii="TimesNewRoman" w:hAnsi="TimesNewRoman" w:eastAsia="仿宋_GB2312" w:cs="TimesNewRoman"/>
          <w:kern w:val="0"/>
          <w:sz w:val="32"/>
          <w:szCs w:val="32"/>
        </w:rPr>
        <w:t>。</w:t>
      </w:r>
    </w:p>
    <w:p>
      <w:pPr>
        <w:pStyle w:val="6"/>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93.23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17.32</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21.30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3.96</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城乡社区支出42.00万元，</w:t>
      </w:r>
      <w:r>
        <w:rPr>
          <w:rFonts w:hint="eastAsia" w:ascii="TimesNewRoman" w:hAnsi="TimesNewRoman" w:eastAsia="仿宋_GB2312" w:cs="TimesNewRoman"/>
          <w:kern w:val="0"/>
          <w:sz w:val="32"/>
          <w:szCs w:val="32"/>
        </w:rPr>
        <w:t>占</w:t>
      </w:r>
      <w:r>
        <w:rPr>
          <w:rFonts w:hint="eastAsia" w:ascii="TimesNewRoman" w:hAnsi="TimesNewRoman" w:eastAsia="仿宋_GB2312" w:cs="TimesNewRoman"/>
          <w:kern w:val="0"/>
          <w:sz w:val="32"/>
          <w:szCs w:val="32"/>
          <w:lang w:val="en-US" w:eastAsia="zh-CN"/>
        </w:rPr>
        <w:t>7.80</w:t>
      </w:r>
      <w:r>
        <w:rPr>
          <w:rFonts w:hint="eastAsia" w:ascii="TimesNewRoman" w:hAnsi="TimesNewRoman" w:eastAsia="仿宋_GB2312" w:cs="TimesNewRoman"/>
          <w:kern w:val="0"/>
          <w:sz w:val="32"/>
          <w:szCs w:val="32"/>
        </w:rPr>
        <w:t>%；</w:t>
      </w:r>
      <w:r>
        <w:rPr>
          <w:rFonts w:hint="eastAsia" w:ascii="TimesNewRoman" w:hAnsi="TimesNewRoman" w:eastAsia="仿宋_GB2312" w:cs="TimesNewRoman"/>
          <w:sz w:val="32"/>
          <w:szCs w:val="32"/>
          <w:lang w:val="en-US" w:eastAsia="zh-CN"/>
        </w:rPr>
        <w:t>自然资源海洋气象等支出312.50万元，</w:t>
      </w:r>
      <w:r>
        <w:rPr>
          <w:rFonts w:hint="eastAsia" w:ascii="TimesNewRoman" w:hAnsi="TimesNewRoman" w:eastAsia="仿宋_GB2312" w:cs="TimesNewRoman"/>
          <w:kern w:val="0"/>
          <w:sz w:val="32"/>
          <w:szCs w:val="32"/>
        </w:rPr>
        <w:t>占</w:t>
      </w:r>
      <w:r>
        <w:rPr>
          <w:rFonts w:hint="eastAsia" w:ascii="TimesNewRoman" w:hAnsi="TimesNewRoman" w:eastAsia="仿宋_GB2312" w:cs="TimesNewRoman"/>
          <w:kern w:val="0"/>
          <w:sz w:val="32"/>
          <w:szCs w:val="32"/>
          <w:lang w:val="en-US" w:eastAsia="zh-CN"/>
        </w:rPr>
        <w:t>58.06</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69.22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12.86</w:t>
      </w:r>
      <w:r>
        <w:rPr>
          <w:rFonts w:hint="eastAsia" w:ascii="TimesNewRoman" w:hAnsi="TimesNewRoman" w:eastAsia="仿宋_GB2312" w:cs="TimesNewRoman"/>
          <w:kern w:val="0"/>
          <w:sz w:val="32"/>
          <w:szCs w:val="32"/>
        </w:rPr>
        <w:t>%。</w:t>
      </w:r>
    </w:p>
    <w:p>
      <w:pPr>
        <w:pStyle w:val="6"/>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1、社会保障和就业支出（类）行政事业单位</w:t>
      </w:r>
      <w:r>
        <w:rPr>
          <w:rFonts w:hint="eastAsia" w:ascii="TimesNewRoman" w:hAnsi="TimesNewRoman" w:eastAsia="仿宋_GB2312" w:cs="TimesNewRoman"/>
          <w:kern w:val="0"/>
          <w:sz w:val="32"/>
          <w:szCs w:val="32"/>
          <w:lang w:val="en-US" w:eastAsia="zh-CN"/>
        </w:rPr>
        <w:t>养老支出（款）</w:t>
      </w:r>
      <w:r>
        <w:rPr>
          <w:rFonts w:hint="eastAsia" w:ascii="TimesNewRoman" w:hAnsi="TimesNewRoman" w:eastAsia="仿宋_GB2312" w:cs="TimesNewRoman"/>
          <w:kern w:val="0"/>
          <w:sz w:val="32"/>
          <w:szCs w:val="32"/>
        </w:rPr>
        <w:t>事业单位离退休（项）202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shd w:val="clear" w:color="auto" w:fill="auto"/>
          <w:lang w:val="en-US" w:eastAsia="zh-CN"/>
        </w:rPr>
        <w:t>29.90</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增加</w:t>
      </w:r>
      <w:r>
        <w:rPr>
          <w:rFonts w:hint="eastAsia" w:ascii="TimesNewRoman" w:hAnsi="TimesNewRoman" w:eastAsia="仿宋_GB2312" w:cs="TimesNewRoman"/>
          <w:kern w:val="0"/>
          <w:sz w:val="32"/>
          <w:szCs w:val="32"/>
          <w:shd w:val="clear" w:color="auto" w:fill="auto"/>
          <w:lang w:val="en-US" w:eastAsia="zh-CN"/>
        </w:rPr>
        <w:t>29.90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增长100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该单位是新成立的单位，2024年无预算</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（类）行政事业单位养老支出（款）机关事业单位基本养老保险缴费支出（项）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41.34</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lang w:val="en-US" w:eastAsia="zh-CN"/>
        </w:rPr>
        <w:t>增加</w:t>
      </w:r>
      <w:r>
        <w:rPr>
          <w:rFonts w:hint="eastAsia" w:ascii="TimesNewRoman" w:hAnsi="TimesNewRoman" w:eastAsia="仿宋_GB2312" w:cs="TimesNewRoman"/>
          <w:kern w:val="0"/>
          <w:sz w:val="32"/>
          <w:szCs w:val="32"/>
          <w:shd w:val="clear" w:color="auto" w:fill="auto"/>
          <w:lang w:val="en-US" w:eastAsia="zh-CN"/>
        </w:rPr>
        <w:t>41.34</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lang w:val="en-US" w:eastAsia="zh-CN"/>
        </w:rPr>
        <w:t>增长100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lang w:val="en-US" w:eastAsia="zh-CN"/>
        </w:rPr>
        <w:t>该单位是新成立的单位，2024年无预算</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3、社会保障和就业支出（类）行政事业单位</w:t>
      </w:r>
      <w:r>
        <w:rPr>
          <w:rFonts w:hint="eastAsia" w:ascii="仿宋_GB2312" w:hAnsi="仿宋" w:eastAsia="仿宋_GB2312"/>
          <w:b w:val="0"/>
          <w:bCs w:val="0"/>
          <w:sz w:val="32"/>
          <w:szCs w:val="32"/>
          <w:shd w:val="clear" w:color="auto" w:fill="auto"/>
        </w:rPr>
        <w:t>养老支出（款）机关事业单位职业年金缴费支出（项）</w:t>
      </w:r>
      <w:r>
        <w:rPr>
          <w:rFonts w:hint="eastAsia" w:ascii="TimesNewRoman" w:hAnsi="TimesNewRoman" w:eastAsia="仿宋_GB2312" w:cs="TimesNewRoman"/>
          <w:kern w:val="0"/>
          <w:sz w:val="32"/>
          <w:szCs w:val="32"/>
        </w:rPr>
        <w:t>2025年预算</w:t>
      </w:r>
      <w:r>
        <w:rPr>
          <w:rFonts w:hint="eastAsia" w:ascii="TimesNewRoman" w:hAnsi="TimesNewRoman" w:eastAsia="仿宋_GB2312" w:cs="TimesNewRoman"/>
          <w:kern w:val="0"/>
          <w:sz w:val="32"/>
          <w:szCs w:val="32"/>
          <w:lang w:val="en-US" w:eastAsia="zh-CN"/>
        </w:rPr>
        <w:t>20.67</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20.67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该单位是新成立的单位，2024年无预算</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（类）其他社会保障和就业支出（款）其他社会保障和就业支出（项）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1.33</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1.33</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100</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kern w:val="0"/>
          <w:sz w:val="32"/>
          <w:szCs w:val="32"/>
          <w:highlight w:val="none"/>
          <w:shd w:val="clear" w:color="auto" w:fill="auto"/>
        </w:rPr>
        <w:t>原因主要是</w:t>
      </w:r>
      <w:r>
        <w:rPr>
          <w:rFonts w:hint="eastAsia" w:ascii="TimesNewRoman" w:hAnsi="TimesNewRoman" w:eastAsia="仿宋_GB2312" w:cs="TimesNewRoman"/>
          <w:kern w:val="0"/>
          <w:sz w:val="32"/>
          <w:szCs w:val="32"/>
          <w:lang w:val="en-US" w:eastAsia="zh-CN"/>
        </w:rPr>
        <w:t>该单位是新成立的单位，2024年无预算</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highlight w:val="none"/>
          <w:shd w:val="clear" w:color="auto" w:fill="auto"/>
        </w:rPr>
      </w:pPr>
      <w:r>
        <w:rPr>
          <w:rFonts w:hint="eastAsia" w:ascii="TimesNewRoman" w:hAnsi="TimesNewRoman" w:eastAsia="仿宋_GB2312" w:cs="TimesNewRoman"/>
          <w:kern w:val="0"/>
          <w:sz w:val="32"/>
          <w:szCs w:val="32"/>
          <w:shd w:val="clear" w:color="auto" w:fill="auto"/>
          <w:lang w:val="en-US" w:eastAsia="zh-CN"/>
        </w:rPr>
        <w:t>5、</w:t>
      </w:r>
      <w:r>
        <w:rPr>
          <w:rFonts w:hint="eastAsia" w:ascii="仿宋_GB2312" w:hAnsi="仿宋" w:eastAsia="仿宋_GB2312" w:cs="Times New Roman"/>
          <w:b w:val="0"/>
          <w:bCs w:val="0"/>
          <w:kern w:val="2"/>
          <w:sz w:val="32"/>
          <w:szCs w:val="32"/>
          <w:shd w:val="clear" w:color="auto" w:fill="auto"/>
        </w:rPr>
        <w:t>卫生健康支出</w:t>
      </w:r>
      <w:r>
        <w:rPr>
          <w:rFonts w:hint="eastAsia" w:ascii="仿宋_GB2312" w:hAnsi="仿宋" w:eastAsia="仿宋_GB2312"/>
          <w:b w:val="0"/>
          <w:bCs w:val="0"/>
          <w:sz w:val="32"/>
          <w:szCs w:val="32"/>
          <w:shd w:val="clear" w:color="auto" w:fill="auto"/>
        </w:rPr>
        <w:t>（类）行政事业单位医疗（款）</w:t>
      </w:r>
      <w:r>
        <w:rPr>
          <w:rFonts w:hint="eastAsia" w:ascii="仿宋_GB2312" w:hAnsi="仿宋" w:eastAsia="仿宋_GB2312"/>
          <w:b w:val="0"/>
          <w:bCs w:val="0"/>
          <w:sz w:val="32"/>
          <w:szCs w:val="32"/>
          <w:shd w:val="clear" w:color="auto" w:fill="auto"/>
          <w:lang w:val="en-US" w:eastAsia="zh-CN"/>
        </w:rPr>
        <w:t>事业</w:t>
      </w:r>
      <w:r>
        <w:rPr>
          <w:rFonts w:hint="eastAsia" w:ascii="仿宋_GB2312" w:hAnsi="仿宋" w:eastAsia="仿宋_GB2312"/>
          <w:b w:val="0"/>
          <w:bCs w:val="0"/>
          <w:sz w:val="32"/>
          <w:szCs w:val="32"/>
          <w:shd w:val="clear" w:color="auto" w:fill="auto"/>
        </w:rPr>
        <w:t>单位医疗（项）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13.69</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13.69</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100</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kern w:val="0"/>
          <w:sz w:val="32"/>
          <w:szCs w:val="32"/>
          <w:highlight w:val="none"/>
          <w:shd w:val="clear" w:color="auto" w:fill="auto"/>
        </w:rPr>
        <w:t>原因主要是</w:t>
      </w:r>
      <w:r>
        <w:rPr>
          <w:rFonts w:hint="eastAsia" w:ascii="TimesNewRoman" w:hAnsi="TimesNewRoman" w:eastAsia="仿宋_GB2312" w:cs="TimesNewRoman"/>
          <w:kern w:val="0"/>
          <w:sz w:val="32"/>
          <w:szCs w:val="32"/>
          <w:lang w:val="en-US" w:eastAsia="zh-CN"/>
        </w:rPr>
        <w:t>该单位是新成立的单位，2024年无预算</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highlight w:val="none"/>
          <w:shd w:val="clear" w:color="auto" w:fill="auto"/>
        </w:rPr>
      </w:pPr>
      <w:r>
        <w:rPr>
          <w:rFonts w:hint="eastAsia" w:ascii="TimesNewRoman" w:hAnsi="TimesNewRoman" w:eastAsia="仿宋_GB2312" w:cs="TimesNewRoman"/>
          <w:kern w:val="0"/>
          <w:sz w:val="32"/>
          <w:szCs w:val="32"/>
          <w:highlight w:val="none"/>
          <w:shd w:val="clear" w:color="auto" w:fill="auto"/>
          <w:lang w:val="en-US" w:eastAsia="zh-CN"/>
        </w:rPr>
        <w:t>6、</w:t>
      </w:r>
      <w:r>
        <w:rPr>
          <w:rFonts w:hint="eastAsia" w:ascii="仿宋_GB2312" w:hAnsi="仿宋" w:eastAsia="仿宋_GB2312" w:cs="Times New Roman"/>
          <w:b w:val="0"/>
          <w:bCs w:val="0"/>
          <w:kern w:val="2"/>
          <w:sz w:val="32"/>
          <w:szCs w:val="32"/>
          <w:shd w:val="clear" w:color="auto" w:fill="auto"/>
        </w:rPr>
        <w:t>卫生健康支出</w:t>
      </w:r>
      <w:r>
        <w:rPr>
          <w:rFonts w:hint="eastAsia" w:ascii="仿宋_GB2312" w:hAnsi="仿宋" w:eastAsia="仿宋_GB2312"/>
          <w:b w:val="0"/>
          <w:bCs w:val="0"/>
          <w:sz w:val="32"/>
          <w:szCs w:val="32"/>
          <w:shd w:val="clear" w:color="auto" w:fill="auto"/>
        </w:rPr>
        <w:t>（类）行政事业单位医疗（款）公务员医疗补助（项）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7.61</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增加</w:t>
      </w:r>
      <w:r>
        <w:rPr>
          <w:rFonts w:hint="eastAsia" w:ascii="TimesNewRoman" w:hAnsi="TimesNewRoman" w:eastAsia="仿宋_GB2312" w:cs="TimesNewRoman"/>
          <w:kern w:val="0"/>
          <w:sz w:val="32"/>
          <w:szCs w:val="32"/>
          <w:shd w:val="clear" w:color="auto" w:fill="auto"/>
          <w:lang w:val="en-US" w:eastAsia="zh-CN"/>
        </w:rPr>
        <w:t>7.61</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增长</w:t>
      </w:r>
      <w:r>
        <w:rPr>
          <w:rFonts w:hint="eastAsia" w:ascii="TimesNewRoman" w:hAnsi="TimesNewRoman" w:eastAsia="仿宋_GB2312" w:cs="TimesNewRoman"/>
          <w:kern w:val="0"/>
          <w:sz w:val="32"/>
          <w:szCs w:val="32"/>
          <w:shd w:val="clear" w:color="auto" w:fill="auto"/>
          <w:lang w:val="en-US" w:eastAsia="zh-CN"/>
        </w:rPr>
        <w:t>100</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kern w:val="0"/>
          <w:sz w:val="32"/>
          <w:szCs w:val="32"/>
          <w:highlight w:val="none"/>
          <w:shd w:val="clear" w:color="auto" w:fill="auto"/>
        </w:rPr>
        <w:t>原因主要是</w:t>
      </w:r>
      <w:r>
        <w:rPr>
          <w:rFonts w:hint="eastAsia" w:ascii="TimesNewRoman" w:hAnsi="TimesNewRoman" w:eastAsia="仿宋_GB2312" w:cs="TimesNewRoman"/>
          <w:kern w:val="0"/>
          <w:sz w:val="32"/>
          <w:szCs w:val="32"/>
          <w:lang w:val="en-US" w:eastAsia="zh-CN"/>
        </w:rPr>
        <w:t>该单位是新成立的单位，2024年无预算</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highlight w:val="none"/>
          <w:shd w:val="clear" w:color="auto" w:fill="auto"/>
        </w:rPr>
      </w:pPr>
      <w:r>
        <w:rPr>
          <w:rFonts w:hint="eastAsia" w:ascii="TimesNewRoman" w:hAnsi="TimesNewRoman" w:eastAsia="仿宋_GB2312" w:cs="TimesNewRoman"/>
          <w:kern w:val="0"/>
          <w:sz w:val="32"/>
          <w:szCs w:val="32"/>
          <w:shd w:val="clear" w:color="auto" w:fill="auto"/>
          <w:lang w:val="en-US" w:eastAsia="zh-CN"/>
        </w:rPr>
        <w:t>7、</w:t>
      </w:r>
      <w:r>
        <w:rPr>
          <w:rFonts w:hint="eastAsia" w:ascii="仿宋_GB2312" w:hAnsi="仿宋" w:eastAsia="仿宋_GB2312" w:cs="Times New Roman"/>
          <w:b w:val="0"/>
          <w:bCs w:val="0"/>
          <w:kern w:val="2"/>
          <w:sz w:val="32"/>
          <w:szCs w:val="32"/>
          <w:shd w:val="clear" w:color="auto" w:fill="auto"/>
        </w:rPr>
        <w:t>自然资源海洋气象等支出</w:t>
      </w:r>
      <w:r>
        <w:rPr>
          <w:rFonts w:hint="eastAsia" w:ascii="仿宋_GB2312" w:hAnsi="仿宋" w:eastAsia="仿宋_GB2312"/>
          <w:b w:val="0"/>
          <w:bCs w:val="0"/>
          <w:sz w:val="32"/>
          <w:szCs w:val="32"/>
          <w:shd w:val="clear" w:color="auto" w:fill="auto"/>
        </w:rPr>
        <w:t>（类）自然资源事务（款）事业运行（项）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312.50</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增加</w:t>
      </w:r>
      <w:r>
        <w:rPr>
          <w:rFonts w:hint="eastAsia" w:ascii="TimesNewRoman" w:hAnsi="TimesNewRoman" w:eastAsia="仿宋_GB2312" w:cs="TimesNewRoman"/>
          <w:kern w:val="0"/>
          <w:sz w:val="32"/>
          <w:szCs w:val="32"/>
          <w:shd w:val="clear" w:color="auto" w:fill="auto"/>
          <w:lang w:val="en-US" w:eastAsia="zh-CN"/>
        </w:rPr>
        <w:t>312.50</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增长</w:t>
      </w:r>
      <w:r>
        <w:rPr>
          <w:rFonts w:hint="eastAsia" w:ascii="TimesNewRoman" w:hAnsi="TimesNewRoman" w:eastAsia="仿宋_GB2312" w:cs="TimesNewRoman"/>
          <w:kern w:val="0"/>
          <w:sz w:val="32"/>
          <w:szCs w:val="32"/>
          <w:shd w:val="clear" w:color="auto" w:fill="auto"/>
          <w:lang w:val="en-US" w:eastAsia="zh-CN"/>
        </w:rPr>
        <w:t>100</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kern w:val="0"/>
          <w:sz w:val="32"/>
          <w:szCs w:val="32"/>
          <w:highlight w:val="none"/>
          <w:shd w:val="clear" w:color="auto" w:fill="auto"/>
        </w:rPr>
        <w:t>原因主要是</w:t>
      </w:r>
      <w:r>
        <w:rPr>
          <w:rFonts w:hint="eastAsia" w:ascii="TimesNewRoman" w:hAnsi="TimesNewRoman" w:eastAsia="仿宋_GB2312" w:cs="TimesNewRoman"/>
          <w:kern w:val="0"/>
          <w:sz w:val="32"/>
          <w:szCs w:val="32"/>
          <w:lang w:val="en-US" w:eastAsia="zh-CN"/>
        </w:rPr>
        <w:t>该单位是新成立的单位，2024年无预算</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highlight w:val="none"/>
          <w:shd w:val="clear" w:color="auto" w:fill="auto"/>
        </w:rPr>
      </w:pPr>
      <w:r>
        <w:rPr>
          <w:rFonts w:hint="eastAsia" w:ascii="TimesNewRoman" w:hAnsi="TimesNewRoman" w:eastAsia="仿宋_GB2312" w:cs="TimesNewRoman"/>
          <w:kern w:val="0"/>
          <w:sz w:val="32"/>
          <w:szCs w:val="32"/>
          <w:shd w:val="clear" w:color="auto" w:fill="auto"/>
          <w:lang w:val="en-US" w:eastAsia="zh-CN"/>
        </w:rPr>
        <w:t>8、</w:t>
      </w:r>
      <w:r>
        <w:rPr>
          <w:rFonts w:hint="eastAsia" w:ascii="TimesNewRoman" w:hAnsi="TimesNewRoman" w:eastAsia="仿宋_GB2312" w:cs="TimesNewRoman"/>
          <w:kern w:val="0"/>
          <w:sz w:val="32"/>
          <w:szCs w:val="32"/>
        </w:rPr>
        <w:t>住房保障支出（类）住房改革支出（款）住房公积金（项）2025年预算</w:t>
      </w:r>
      <w:r>
        <w:rPr>
          <w:rFonts w:hint="eastAsia" w:ascii="TimesNewRoman" w:hAnsi="TimesNewRoman" w:eastAsia="仿宋_GB2312" w:cs="TimesNewRoman"/>
          <w:kern w:val="0"/>
          <w:sz w:val="32"/>
          <w:szCs w:val="32"/>
          <w:lang w:val="en-US" w:eastAsia="zh-CN"/>
        </w:rPr>
        <w:t>41.53</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41.53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该单位是新成立的单位，2024年无预算</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kern w:val="0"/>
          <w:sz w:val="32"/>
          <w:szCs w:val="32"/>
          <w:lang w:val="en-US" w:eastAsia="zh-CN"/>
        </w:rPr>
        <w:t>9、</w:t>
      </w:r>
      <w:r>
        <w:rPr>
          <w:rFonts w:hint="eastAsia" w:ascii="仿宋_GB2312" w:hAnsi="仿宋" w:eastAsia="仿宋_GB2312" w:cs="Times New Roman"/>
          <w:b w:val="0"/>
          <w:bCs w:val="0"/>
          <w:kern w:val="2"/>
          <w:sz w:val="32"/>
          <w:szCs w:val="32"/>
          <w:shd w:val="clear" w:color="auto" w:fill="auto"/>
        </w:rPr>
        <w:t>住房保障支出</w:t>
      </w:r>
      <w:r>
        <w:rPr>
          <w:rFonts w:hint="eastAsia" w:ascii="仿宋_GB2312" w:hAnsi="仿宋" w:eastAsia="仿宋_GB2312"/>
          <w:b w:val="0"/>
          <w:bCs w:val="0"/>
          <w:sz w:val="32"/>
          <w:szCs w:val="32"/>
          <w:shd w:val="clear" w:color="auto" w:fill="auto"/>
        </w:rPr>
        <w:t>（类）住房改革支出（款）</w:t>
      </w:r>
      <w:r>
        <w:rPr>
          <w:rFonts w:hint="eastAsia" w:ascii="仿宋_GB2312" w:hAnsi="仿宋" w:eastAsia="仿宋_GB2312"/>
          <w:b w:val="0"/>
          <w:bCs w:val="0"/>
          <w:sz w:val="32"/>
          <w:szCs w:val="32"/>
          <w:shd w:val="clear" w:color="auto" w:fill="auto"/>
          <w:lang w:eastAsia="zh-CN"/>
        </w:rPr>
        <w:t>提租补贴</w:t>
      </w:r>
      <w:r>
        <w:rPr>
          <w:rFonts w:hint="eastAsia" w:ascii="仿宋_GB2312" w:hAnsi="仿宋" w:eastAsia="仿宋_GB2312"/>
          <w:b w:val="0"/>
          <w:bCs w:val="0"/>
          <w:sz w:val="32"/>
          <w:szCs w:val="32"/>
          <w:shd w:val="clear" w:color="auto" w:fill="auto"/>
        </w:rPr>
        <w:t>（项）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10.38</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rPr>
        <w:t>增加</w:t>
      </w:r>
      <w:r>
        <w:rPr>
          <w:rFonts w:hint="eastAsia" w:ascii="TimesNewRoman" w:hAnsi="TimesNewRoman" w:eastAsia="仿宋_GB2312" w:cs="TimesNewRoman"/>
          <w:kern w:val="0"/>
          <w:sz w:val="32"/>
          <w:szCs w:val="32"/>
          <w:shd w:val="clear" w:color="auto" w:fill="auto"/>
          <w:lang w:val="en-US" w:eastAsia="zh-CN"/>
        </w:rPr>
        <w:t>10.38</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rPr>
        <w:t>增长</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kern w:val="0"/>
          <w:sz w:val="32"/>
          <w:szCs w:val="32"/>
          <w:highlight w:val="none"/>
          <w:shd w:val="clear" w:color="auto" w:fill="auto"/>
        </w:rPr>
        <w:t>原因主要是</w:t>
      </w:r>
      <w:r>
        <w:rPr>
          <w:rFonts w:hint="eastAsia" w:ascii="TimesNewRoman" w:hAnsi="TimesNewRoman" w:eastAsia="仿宋_GB2312" w:cs="TimesNewRoman"/>
          <w:kern w:val="0"/>
          <w:sz w:val="32"/>
          <w:szCs w:val="32"/>
          <w:lang w:val="en-US" w:eastAsia="zh-CN"/>
        </w:rPr>
        <w:t>该单位是新成立的单位，2024年无预算</w:t>
      </w:r>
      <w:r>
        <w:rPr>
          <w:rFonts w:hint="eastAsia" w:ascii="TimesNewRoman" w:hAnsi="TimesNewRoman" w:eastAsia="仿宋_GB2312" w:cs="TimesNewRoman"/>
          <w:kern w:val="0"/>
          <w:sz w:val="32"/>
          <w:szCs w:val="32"/>
        </w:rPr>
        <w:t>。</w:t>
      </w:r>
    </w:p>
    <w:p>
      <w:pPr>
        <w:ind w:firstLine="640" w:firstLineChars="200"/>
        <w:rPr>
          <w:rFonts w:ascii="TimesNewRoman" w:hAnsi="TimesNewRoman" w:eastAsia="楷体_GB2312" w:cs="TimesNewRoman"/>
          <w:color w:val="FF0000"/>
          <w:sz w:val="32"/>
          <w:szCs w:val="32"/>
        </w:rPr>
      </w:pPr>
      <w:r>
        <w:rPr>
          <w:rFonts w:hint="eastAsia" w:ascii="TimesNewRoman" w:hAnsi="TimesNewRoman" w:eastAsia="仿宋_GB2312" w:cs="TimesNewRoman"/>
          <w:b w:val="0"/>
          <w:bCs w:val="0"/>
          <w:kern w:val="0"/>
          <w:sz w:val="32"/>
          <w:szCs w:val="32"/>
          <w:shd w:val="clear" w:color="auto" w:fill="auto"/>
          <w:lang w:val="en-US" w:eastAsia="zh-CN"/>
        </w:rPr>
        <w:t>10</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住房保障支出</w:t>
      </w:r>
      <w:r>
        <w:rPr>
          <w:rFonts w:hint="eastAsia" w:ascii="仿宋_GB2312" w:hAnsi="仿宋" w:eastAsia="仿宋_GB2312"/>
          <w:b w:val="0"/>
          <w:bCs w:val="0"/>
          <w:sz w:val="32"/>
          <w:szCs w:val="32"/>
          <w:shd w:val="clear" w:color="auto" w:fill="auto"/>
        </w:rPr>
        <w:t>（类）住房改革支出（款）购房补贴（项）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17.31</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rPr>
        <w:t>增加</w:t>
      </w:r>
      <w:r>
        <w:rPr>
          <w:rFonts w:hint="eastAsia" w:ascii="TimesNewRoman" w:hAnsi="TimesNewRoman" w:eastAsia="仿宋_GB2312" w:cs="TimesNewRoman"/>
          <w:kern w:val="0"/>
          <w:sz w:val="32"/>
          <w:szCs w:val="32"/>
          <w:shd w:val="clear" w:color="auto" w:fill="auto"/>
          <w:lang w:val="en-US" w:eastAsia="zh-CN"/>
        </w:rPr>
        <w:t>17.31</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rPr>
        <w:t>增长</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kern w:val="0"/>
          <w:sz w:val="32"/>
          <w:szCs w:val="32"/>
          <w:highlight w:val="none"/>
          <w:shd w:val="clear" w:color="auto" w:fill="auto"/>
        </w:rPr>
        <w:t>原因主要是</w:t>
      </w:r>
      <w:r>
        <w:rPr>
          <w:rFonts w:hint="eastAsia" w:ascii="TimesNewRoman" w:hAnsi="TimesNewRoman" w:eastAsia="仿宋_GB2312" w:cs="TimesNewRoman"/>
          <w:kern w:val="0"/>
          <w:sz w:val="32"/>
          <w:szCs w:val="32"/>
          <w:lang w:val="en-US" w:eastAsia="zh-CN"/>
        </w:rPr>
        <w:t>该单位是新成立的单位，2024年无预算</w:t>
      </w:r>
      <w:r>
        <w:rPr>
          <w:rFonts w:hint="eastAsia" w:ascii="TimesNewRoman" w:hAnsi="TimesNewRoman" w:eastAsia="仿宋_GB2312" w:cs="TimesNewRoman"/>
          <w:kern w:val="0"/>
          <w:sz w:val="32"/>
          <w:szCs w:val="32"/>
        </w:rPr>
        <w:t>。</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烈山滨湖土地储备发展中心</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496.26</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451.06</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45.20</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kern w:val="0"/>
          <w:sz w:val="32"/>
          <w:szCs w:val="32"/>
          <w:lang w:val="en-US" w:eastAsia="zh-CN"/>
        </w:rPr>
        <w:t>451.06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主要包括:基本工资、津贴补贴、奖金、绩效工资、机关事业单位基本养老保险费、职业年金缴费、职工基本医疗保险缴费、公务员医疗补助缴费、其他社会保障缴费、住房公积金、</w:t>
      </w:r>
      <w:r>
        <w:rPr>
          <w:rFonts w:hint="eastAsia" w:ascii="TimesNewRoman" w:hAnsi="TimesNewRoman" w:eastAsia="仿宋_GB2312" w:cs="TimesNewRoman"/>
          <w:kern w:val="0"/>
          <w:sz w:val="32"/>
          <w:szCs w:val="32"/>
          <w:lang w:eastAsia="zh-CN"/>
        </w:rPr>
        <w:t>办公费、</w:t>
      </w:r>
      <w:r>
        <w:rPr>
          <w:rFonts w:hint="eastAsia" w:ascii="TimesNewRoman" w:hAnsi="TimesNewRoman" w:eastAsia="仿宋_GB2312" w:cs="TimesNewRoman"/>
          <w:kern w:val="0"/>
          <w:sz w:val="32"/>
          <w:szCs w:val="32"/>
        </w:rPr>
        <w:t>工会经费、福利费、</w:t>
      </w:r>
      <w:r>
        <w:rPr>
          <w:rFonts w:hint="eastAsia" w:ascii="TimesNewRoman" w:hAnsi="TimesNewRoman" w:eastAsia="仿宋_GB2312" w:cs="TimesNewRoman"/>
          <w:kern w:val="0"/>
          <w:sz w:val="32"/>
          <w:szCs w:val="32"/>
          <w:lang w:eastAsia="zh-CN"/>
        </w:rPr>
        <w:t>其他商品和服务支出、</w:t>
      </w:r>
      <w:r>
        <w:rPr>
          <w:rFonts w:hint="eastAsia" w:ascii="TimesNewRoman" w:hAnsi="TimesNewRoman" w:eastAsia="仿宋_GB2312" w:cs="TimesNewRoman"/>
          <w:kern w:val="0"/>
          <w:sz w:val="32"/>
          <w:szCs w:val="32"/>
        </w:rPr>
        <w:t>退休费、生活补助、医疗费补助、</w:t>
      </w:r>
      <w:r>
        <w:rPr>
          <w:rFonts w:hint="eastAsia" w:ascii="TimesNewRoman" w:hAnsi="TimesNewRoman" w:eastAsia="仿宋_GB2312" w:cs="TimesNewRoman"/>
          <w:kern w:val="0"/>
          <w:sz w:val="32"/>
          <w:szCs w:val="32"/>
          <w:lang w:eastAsia="zh-CN"/>
        </w:rPr>
        <w:t>奖励金</w:t>
      </w:r>
      <w:r>
        <w:rPr>
          <w:rFonts w:hint="eastAsia" w:ascii="TimesNewRoman" w:hAnsi="TimesNewRoman" w:eastAsia="仿宋_GB2312" w:cs="TimesNewRoman"/>
          <w:kern w:val="0"/>
          <w:sz w:val="32"/>
          <w:szCs w:val="32"/>
        </w:rPr>
        <w:t>、对其他个人和家庭的补助支出。</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kern w:val="0"/>
          <w:sz w:val="32"/>
          <w:szCs w:val="32"/>
          <w:lang w:val="en-US" w:eastAsia="zh-CN"/>
        </w:rPr>
        <w:t>45.20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主要包括：公务用车运行维护费、其他商品</w:t>
      </w:r>
      <w:r>
        <w:rPr>
          <w:rFonts w:hint="eastAsia" w:ascii="TimesNewRoman" w:hAnsi="TimesNewRoman" w:eastAsia="仿宋_GB2312" w:cs="TimesNewRoman"/>
          <w:kern w:val="0"/>
          <w:sz w:val="32"/>
          <w:szCs w:val="32"/>
          <w:lang w:val="en-US" w:eastAsia="zh-CN"/>
        </w:rPr>
        <w:t>和</w:t>
      </w:r>
      <w:r>
        <w:rPr>
          <w:rFonts w:hint="eastAsia" w:ascii="TimesNewRoman" w:hAnsi="TimesNewRoman" w:eastAsia="仿宋_GB2312" w:cs="TimesNewRoman"/>
          <w:kern w:val="0"/>
          <w:sz w:val="32"/>
          <w:szCs w:val="32"/>
        </w:rPr>
        <w:t>服务支出。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烈山滨湖土地储备发展中心</w:t>
      </w:r>
      <w:r>
        <w:rPr>
          <w:rFonts w:hint="eastAsia" w:ascii="TimesNewRoman" w:hAnsi="TimesNewRoman" w:eastAsia="仿宋_GB2312" w:cs="TimesNewRoman"/>
          <w:kern w:val="0"/>
          <w:sz w:val="32"/>
          <w:szCs w:val="32"/>
        </w:rPr>
        <w:t>2025年政府性基金支出</w:t>
      </w:r>
      <w:r>
        <w:rPr>
          <w:rFonts w:hint="eastAsia" w:ascii="TimesNewRoman" w:hAnsi="TimesNewRoman" w:eastAsia="仿宋_GB2312" w:cs="TimesNewRoman"/>
          <w:kern w:val="0"/>
          <w:sz w:val="32"/>
          <w:szCs w:val="32"/>
          <w:lang w:val="en-US" w:eastAsia="zh-CN"/>
        </w:rPr>
        <w:t>42.00</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42.00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%，主要原因是</w:t>
      </w:r>
      <w:r>
        <w:rPr>
          <w:rFonts w:hint="eastAsia" w:ascii="TimesNewRoman" w:hAnsi="TimesNewRoman" w:eastAsia="仿宋_GB2312" w:cs="TimesNewRoman"/>
          <w:kern w:val="0"/>
          <w:sz w:val="32"/>
          <w:szCs w:val="32"/>
          <w:lang w:val="en-US" w:eastAsia="zh-CN"/>
        </w:rPr>
        <w:t>该单位是新成立的单位，2024年无预算</w:t>
      </w:r>
      <w:r>
        <w:rPr>
          <w:rFonts w:hint="eastAsia" w:ascii="TimesNewRoman" w:hAnsi="TimesNewRoman" w:eastAsia="仿宋_GB2312" w:cs="TimesNewRoman"/>
          <w:kern w:val="0"/>
          <w:sz w:val="32"/>
          <w:szCs w:val="32"/>
        </w:rPr>
        <w:t>。具体情况如下：</w:t>
      </w:r>
    </w:p>
    <w:p>
      <w:pPr>
        <w:ind w:firstLine="643" w:firstLineChars="200"/>
        <w:rPr>
          <w:rFonts w:hint="eastAsia" w:ascii="TimesNewRoman" w:hAnsi="TimesNewRoman" w:eastAsia="仿宋_GB2312" w:cs="TimesNewRoman"/>
          <w:kern w:val="0"/>
          <w:sz w:val="32"/>
          <w:szCs w:val="32"/>
          <w:highlight w:val="none"/>
          <w:shd w:val="clear" w:color="auto" w:fill="auto"/>
        </w:rPr>
      </w:pPr>
      <w:r>
        <w:rPr>
          <w:rFonts w:hint="eastAsia" w:ascii="TimesNewRoman" w:hAnsi="TimesNewRoman" w:eastAsia="仿宋_GB2312" w:cs="TimesNewRoman"/>
          <w:b/>
          <w:kern w:val="0"/>
          <w:sz w:val="32"/>
          <w:szCs w:val="32"/>
          <w:shd w:val="clear" w:color="auto" w:fill="auto"/>
        </w:rPr>
        <w:t>（一）</w:t>
      </w:r>
      <w:r>
        <w:rPr>
          <w:rFonts w:hint="eastAsia" w:ascii="TimesNewRoman" w:hAnsi="TimesNewRoman" w:eastAsia="仿宋_GB2312" w:cs="TimesNewRoman"/>
          <w:b/>
          <w:kern w:val="0"/>
          <w:sz w:val="32"/>
          <w:szCs w:val="32"/>
          <w:shd w:val="clear" w:color="auto" w:fill="auto"/>
          <w:lang w:eastAsia="zh-CN"/>
        </w:rPr>
        <w:t>城乡社区支出</w:t>
      </w:r>
      <w:r>
        <w:rPr>
          <w:rFonts w:hint="eastAsia" w:ascii="TimesNewRoman" w:hAnsi="TimesNewRoman" w:eastAsia="仿宋_GB2312" w:cs="TimesNewRoman"/>
          <w:b/>
          <w:kern w:val="0"/>
          <w:sz w:val="32"/>
          <w:szCs w:val="32"/>
          <w:shd w:val="clear" w:color="auto" w:fill="auto"/>
        </w:rPr>
        <w:t>（类）</w:t>
      </w:r>
      <w:r>
        <w:rPr>
          <w:rFonts w:hint="eastAsia" w:ascii="TimesNewRoman" w:hAnsi="TimesNewRoman" w:eastAsia="仿宋_GB2312" w:cs="TimesNewRoman"/>
          <w:b/>
          <w:kern w:val="0"/>
          <w:sz w:val="32"/>
          <w:szCs w:val="32"/>
          <w:shd w:val="clear" w:color="auto" w:fill="auto"/>
          <w:lang w:eastAsia="zh-CN"/>
        </w:rPr>
        <w:t>国有土地使用权出让收入安排的支出</w:t>
      </w:r>
      <w:r>
        <w:rPr>
          <w:rFonts w:hint="eastAsia" w:ascii="TimesNewRoman" w:hAnsi="TimesNewRoman" w:eastAsia="仿宋_GB2312" w:cs="TimesNewRoman"/>
          <w:b/>
          <w:kern w:val="0"/>
          <w:sz w:val="32"/>
          <w:szCs w:val="32"/>
          <w:shd w:val="clear" w:color="auto" w:fill="auto"/>
        </w:rPr>
        <w:t>（款）</w:t>
      </w:r>
      <w:r>
        <w:rPr>
          <w:rFonts w:hint="eastAsia" w:ascii="TimesNewRoman" w:hAnsi="TimesNewRoman" w:eastAsia="仿宋_GB2312" w:cs="TimesNewRoman"/>
          <w:b/>
          <w:kern w:val="0"/>
          <w:sz w:val="32"/>
          <w:szCs w:val="32"/>
          <w:shd w:val="clear" w:color="auto" w:fill="auto"/>
          <w:lang w:eastAsia="zh-CN"/>
        </w:rPr>
        <w:t>土地出让业务支出</w:t>
      </w:r>
      <w:r>
        <w:rPr>
          <w:rFonts w:hint="eastAsia" w:ascii="TimesNewRoman" w:hAnsi="TimesNewRoman" w:eastAsia="仿宋_GB2312" w:cs="TimesNewRoman"/>
          <w:b/>
          <w:kern w:val="0"/>
          <w:sz w:val="32"/>
          <w:szCs w:val="32"/>
          <w:shd w:val="clear" w:color="auto" w:fill="auto"/>
        </w:rPr>
        <w:t>（项）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42.00</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rPr>
        <w:t>增加</w:t>
      </w:r>
      <w:r>
        <w:rPr>
          <w:rFonts w:hint="eastAsia" w:ascii="TimesNewRoman" w:hAnsi="TimesNewRoman" w:eastAsia="仿宋_GB2312" w:cs="TimesNewRoman"/>
          <w:kern w:val="0"/>
          <w:sz w:val="32"/>
          <w:szCs w:val="32"/>
          <w:lang w:val="en-US" w:eastAsia="zh-CN"/>
        </w:rPr>
        <w:t>42.00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highlight w:val="none"/>
          <w:shd w:val="clear" w:color="auto" w:fill="auto"/>
        </w:rPr>
        <w:t>原因主要是</w:t>
      </w:r>
      <w:r>
        <w:rPr>
          <w:rFonts w:hint="eastAsia" w:ascii="TimesNewRoman" w:hAnsi="TimesNewRoman" w:eastAsia="仿宋_GB2312" w:cs="TimesNewRoman"/>
          <w:kern w:val="0"/>
          <w:sz w:val="32"/>
          <w:szCs w:val="32"/>
          <w:lang w:val="en-US" w:eastAsia="zh-CN"/>
        </w:rPr>
        <w:t>该单位是新成立的单位，2024年无预算</w:t>
      </w:r>
      <w:r>
        <w:rPr>
          <w:rFonts w:hint="eastAsia" w:ascii="TimesNewRoman" w:hAnsi="TimesNewRoman" w:eastAsia="仿宋_GB2312" w:cs="TimesNewRoman"/>
          <w:kern w:val="0"/>
          <w:sz w:val="32"/>
          <w:szCs w:val="32"/>
        </w:rPr>
        <w:t>。</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烈山滨湖土地储备发展中心</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烈山滨湖土地储备发展中心</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42.00</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42.00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该单位是新成立的单位，2024年无预算</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42.00</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42.00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烈山滨湖土地储备发展中心</w:t>
      </w:r>
      <w:r>
        <w:rPr>
          <w:rFonts w:hint="eastAsia" w:ascii="TimesNewRoman" w:hAnsi="TimesNewRoman" w:eastAsia="仿宋_GB2312" w:cs="TimesNewRoman"/>
          <w:kern w:val="0"/>
          <w:sz w:val="32"/>
          <w:szCs w:val="32"/>
        </w:rPr>
        <w:t>2025年没有使用一般公共预算拨款、政府性基金预算拨款、国有资本经营预算拨款、财政专户管理资金和单位资金安排的政府采购支出。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烈山滨湖土地储备发展中心</w:t>
      </w:r>
      <w:r>
        <w:rPr>
          <w:rFonts w:hint="eastAsia" w:ascii="TimesNewRoman" w:hAnsi="TimesNewRoman" w:eastAsia="仿宋_GB2312" w:cs="TimesNewRoman"/>
          <w:kern w:val="0"/>
          <w:sz w:val="32"/>
          <w:szCs w:val="32"/>
        </w:rPr>
        <w:t>2025年没有安排政府购买服务支出。</w:t>
      </w:r>
    </w:p>
    <w:p>
      <w:pPr>
        <w:pStyle w:val="6"/>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pPr>
        <w:pStyle w:val="6"/>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sz w:val="32"/>
          <w:szCs w:val="32"/>
          <w:lang w:eastAsia="zh-CN"/>
        </w:rPr>
        <w:t>烈山滨湖土地储备发展中心</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年没有安排通用资产配置支出。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lang w:eastAsia="zh-CN"/>
        </w:rPr>
        <w:t>动态巡查业务费”项目。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w:t>
      </w:r>
      <w:r>
        <w:rPr>
          <w:rFonts w:hint="eastAsia" w:ascii="TimesNewRoman" w:hAnsi="TimesNewRoman" w:eastAsia="仿宋_GB2312" w:cs="TimesNewRoman"/>
          <w:kern w:val="0"/>
          <w:sz w:val="32"/>
          <w:szCs w:val="32"/>
          <w:lang w:eastAsia="zh-CN"/>
        </w:rPr>
        <w:t>本项目为确保单位日常运行，保障本单位工作顺利推进，满足组织专项检查，处理信访，调解纠纷，卫片全天候预警监测，南京局例行督查工作等工作任务。</w:t>
      </w:r>
    </w:p>
    <w:p>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lang w:val="en-US" w:eastAsia="zh-CN"/>
        </w:rPr>
        <w:t>（2）立项依据。</w:t>
      </w:r>
      <w:r>
        <w:rPr>
          <w:rFonts w:hint="eastAsia" w:ascii="TimesNewRoman" w:hAnsi="TimesNewRoman" w:eastAsia="仿宋_GB2312" w:cs="TimesNewRoman"/>
          <w:kern w:val="0"/>
          <w:sz w:val="32"/>
          <w:szCs w:val="32"/>
          <w:lang w:eastAsia="zh-CN"/>
        </w:rPr>
        <w:t>土地管理法、国土资源关于印发</w:t>
      </w:r>
      <w:r>
        <w:rPr>
          <w:rFonts w:hint="eastAsia" w:ascii="TimesNewRoman" w:hAnsi="TimesNewRoman" w:eastAsia="仿宋_GB2312" w:cs="TimesNewRoman"/>
          <w:kern w:val="0"/>
          <w:sz w:val="32"/>
          <w:szCs w:val="32"/>
          <w:lang w:val="en-US" w:eastAsia="zh-CN"/>
        </w:rPr>
        <w:t xml:space="preserve"> 《12336国土资源违法线索举报微信平台管理办法（试行）的通知》（国土资规〔2017〕9号）。</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（3）实施主体。淮北市烈山滨湖土地储备发展中心</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（4）起止时间。2025.01-2025.12</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w:t>
      </w:r>
      <w:r>
        <w:rPr>
          <w:rFonts w:hint="eastAsia" w:ascii="TimesNewRoman" w:hAnsi="TimesNewRoman" w:eastAsia="仿宋_GB2312" w:cs="TimesNewRoman"/>
          <w:kern w:val="0"/>
          <w:sz w:val="32"/>
          <w:szCs w:val="32"/>
          <w:lang w:eastAsia="zh-CN"/>
        </w:rPr>
        <w:t>本项目为确保单位日常运行，保障本单位工作顺利推进，满足组织专项检查，处理信访，调解纠纷，卫片全天候预警监测，南京局例行督查工作等工作任务。</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（6）年度预算安排。42万元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cs="宋体"/>
                <w:sz w:val="20"/>
              </w:rPr>
              <w:t>动态巡查业务费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淮北市烈山滨湖土地储备发展中心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1-本级申报项目</w:t>
            </w:r>
          </w:p>
        </w:tc>
        <w:tc>
          <w:tcPr>
            <w:tcW w:w="1848" w:type="dxa"/>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项目期</w:t>
            </w:r>
          </w:p>
        </w:tc>
        <w:tc>
          <w:tcPr>
            <w:tcW w:w="2380" w:type="dxa"/>
            <w:tcBorders>
              <w:tl2br w:val="nil"/>
              <w:tr2bl w:val="nil"/>
            </w:tcBorders>
            <w:noWrap w:val="0"/>
            <w:vAlign w:val="center"/>
          </w:tcPr>
          <w:p>
            <w:pPr>
              <w:jc w:val="center"/>
              <w:rPr>
                <w:rFonts w:hint="eastAsia" w:ascii="宋体" w:eastAsia="宋体" w:cs="宋体"/>
                <w:sz w:val="20"/>
                <w:lang w:val="en-US" w:eastAsia="zh-CN"/>
              </w:rPr>
            </w:pPr>
            <w:r>
              <w:rPr>
                <w:rFonts w:hint="eastAsia" w:ascii="宋体" w:eastAsia="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hAnsi="宋体" w:eastAsia="宋体" w:cs="宋体"/>
                <w:color w:val="000000"/>
                <w:kern w:val="0"/>
                <w:sz w:val="20"/>
                <w:szCs w:val="20"/>
              </w:rPr>
              <w:t>确保单位正常运行，保障本单位工作顺利推进。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指标1：项目任务数量</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指标1：项目任务质量</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满足办公、差旅、公务接待、印刷、邮电、维修、会议、交通、办公设备购置等需求</w:t>
            </w:r>
            <w:r>
              <w:rPr>
                <w:rFonts w:hint="eastAsia" w:ascii="宋体" w:hAnsi="宋体" w:cs="宋体"/>
                <w:color w:val="000000"/>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指标1：项目任务时效</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1年</w:t>
            </w: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指标1：项目任务成本</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420000元</w:t>
            </w: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指标1：项目经济效益</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确保单位持续稳定运转。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指标1：项目社会效益</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确保各项业务工作正常开展。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指标1：项目生态效益</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确保单位日常运行，保障工作顺利推进。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指标1：项目可持续影响</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确保各项业务顺利开展，持续发挥职能改善和提升作用。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指标1：满意度</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满意</w:t>
            </w:r>
            <w:r>
              <w:rPr>
                <w:rFonts w:hint="eastAsia" w:ascii="宋体" w:hAnsi="宋体" w:eastAsia="宋体" w:cs="宋体"/>
                <w:color w:val="000000"/>
                <w:kern w:val="0"/>
                <w:sz w:val="20"/>
                <w:szCs w:val="20"/>
              </w:rPr>
              <w:t>。</w:t>
            </w:r>
          </w:p>
        </w:tc>
      </w:tr>
    </w:tbl>
    <w:p>
      <w:pPr>
        <w:ind w:firstLine="420" w:firstLineChars="200"/>
      </w:pP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烈山滨湖土地储备发展中心</w:t>
      </w:r>
      <w:r>
        <w:rPr>
          <w:rFonts w:hint="eastAsia" w:ascii="TimesNewRoman" w:hAnsi="TimesNewRoman" w:eastAsia="仿宋_GB2312" w:cs="TimesNewRoman"/>
          <w:kern w:val="0"/>
          <w:sz w:val="32"/>
          <w:szCs w:val="32"/>
        </w:rPr>
        <w:t>为非参照公务员法管理的事业单位，按照部门预算机关运行经费口径，2025年无机关运行经费财政拨款预算。</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烈山滨湖土地储备发展中心</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bookmarkStart w:id="0" w:name="_GoBack"/>
      <w:bookmarkEnd w:id="0"/>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w:t>
      </w:r>
      <w:r>
        <w:rPr>
          <w:rFonts w:hint="eastAsia" w:ascii="TimesNewRoman" w:hAnsi="TimesNewRoman" w:eastAsia="仿宋_GB2312" w:cs="TimesNewRoman"/>
          <w:kern w:val="0"/>
          <w:sz w:val="32"/>
          <w:szCs w:val="32"/>
          <w:lang w:eastAsia="zh-CN"/>
        </w:rPr>
        <w:t>烈山滨湖土地储备发展中心</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辆，其中：其他用车</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w:t>
      </w:r>
      <w:r>
        <w:rPr>
          <w:rFonts w:hint="eastAsia" w:ascii="TimesNewRoman" w:hAnsi="TimesNewRoman" w:eastAsia="仿宋_GB2312" w:cs="TimesNewRoman"/>
          <w:kern w:val="0"/>
          <w:sz w:val="32"/>
          <w:szCs w:val="32"/>
          <w:lang w:eastAsia="zh-CN"/>
        </w:rPr>
        <w:t>单位</w:t>
      </w:r>
      <w:r>
        <w:rPr>
          <w:rFonts w:hint="eastAsia" w:ascii="TimesNewRoman" w:hAnsi="TimesNewRoman" w:eastAsia="仿宋_GB2312" w:cs="TimesNewRoman"/>
          <w:kern w:val="0"/>
          <w:sz w:val="32"/>
          <w:szCs w:val="32"/>
        </w:rPr>
        <w:t>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w:t>
      </w:r>
      <w:r>
        <w:rPr>
          <w:rFonts w:hint="eastAsia" w:ascii="TimesNewRoman" w:hAnsi="TimesNewRoman" w:eastAsia="仿宋_GB2312" w:cs="TimesNewRoman"/>
          <w:kern w:val="0"/>
          <w:sz w:val="32"/>
          <w:szCs w:val="32"/>
          <w:lang w:eastAsia="zh-CN"/>
        </w:rPr>
        <w:t>烈山滨湖土地储备发展中心</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42.00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4A4DC6"/>
    <w:rsid w:val="0057562B"/>
    <w:rsid w:val="006546AF"/>
    <w:rsid w:val="00726D96"/>
    <w:rsid w:val="00740B10"/>
    <w:rsid w:val="007862C0"/>
    <w:rsid w:val="008F6D1A"/>
    <w:rsid w:val="009168AC"/>
    <w:rsid w:val="009A3CA3"/>
    <w:rsid w:val="00AE3242"/>
    <w:rsid w:val="00B468F1"/>
    <w:rsid w:val="00B964EC"/>
    <w:rsid w:val="00BD640A"/>
    <w:rsid w:val="00DB2A5C"/>
    <w:rsid w:val="00E907C4"/>
    <w:rsid w:val="00EC7755"/>
    <w:rsid w:val="00F45ECB"/>
    <w:rsid w:val="00F974AD"/>
    <w:rsid w:val="00FB5D55"/>
    <w:rsid w:val="04AE7AB0"/>
    <w:rsid w:val="108C7A6C"/>
    <w:rsid w:val="18CF505D"/>
    <w:rsid w:val="258A76B0"/>
    <w:rsid w:val="40C82D71"/>
    <w:rsid w:val="418A7B54"/>
    <w:rsid w:val="4E1E499E"/>
    <w:rsid w:val="51AB206E"/>
    <w:rsid w:val="55AD4A9A"/>
    <w:rsid w:val="5CB27227"/>
    <w:rsid w:val="5F42509B"/>
    <w:rsid w:val="68C83FA6"/>
    <w:rsid w:val="6EB90223"/>
    <w:rsid w:val="737905A3"/>
    <w:rsid w:val="7D043D64"/>
    <w:rsid w:val="7FDA6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Cs w:val="32"/>
    </w:rPr>
  </w:style>
  <w:style w:type="paragraph" w:styleId="3">
    <w:name w:val="heading 3"/>
    <w:basedOn w:val="1"/>
    <w:next w:val="1"/>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5406</Words>
  <Characters>6162</Characters>
  <Lines>48</Lines>
  <Paragraphs>13</Paragraphs>
  <TotalTime>10</TotalTime>
  <ScaleCrop>false</ScaleCrop>
  <LinksUpToDate>false</LinksUpToDate>
  <CharactersWithSpaces>6274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dcterms:modified xsi:type="dcterms:W3CDTF">2025-02-17T07:40:40Z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eyJoZGlkIjoiMzUxMzRhYWQwZmMwY2VkN2NiYjcwMzdmOWEyZjc5NzQifQ==</vt:lpwstr>
  </property>
  <property fmtid="{D5CDD505-2E9C-101B-9397-08002B2CF9AE}" pid="3" name="KSOProductBuildVer">
    <vt:lpwstr>2052-11.8.2.8808</vt:lpwstr>
  </property>
  <property fmtid="{D5CDD505-2E9C-101B-9397-08002B2CF9AE}" pid="4" name="ICV">
    <vt:lpwstr>EA8F26CB3E6946638B6B6B4728C642E4_12</vt:lpwstr>
  </property>
</Properties>
</file>