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土地储备发展中心</w:t>
      </w:r>
      <w:r>
        <w:rPr>
          <w:rFonts w:hint="eastAsia" w:ascii="TimesNewRoman" w:hAnsi="TimesNewRoman" w:eastAsia="华文中宋" w:cs="TimesNewRoman"/>
          <w:b/>
          <w:sz w:val="44"/>
          <w:szCs w:val="44"/>
        </w:rPr>
        <w:t>2023年</w:t>
      </w:r>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5"/>
        <w:adjustRightInd w:val="0"/>
        <w:snapToGrid w:val="0"/>
        <w:spacing w:line="560" w:lineRule="exact"/>
        <w:jc w:val="center"/>
        <w:rPr>
          <w:rFonts w:hint="eastAsia" w:ascii="TimesNewRoman" w:hAnsi="TimesNewRoman" w:eastAsia="黑体" w:cs="TimesNewRoman"/>
          <w:bCs/>
          <w:sz w:val="44"/>
          <w:szCs w:val="44"/>
        </w:rPr>
      </w:pPr>
    </w:p>
    <w:p>
      <w:pPr>
        <w:pStyle w:val="5"/>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default" w:ascii="TimesNewRoman" w:hAnsi="TimesNewRoman" w:eastAsia="黑体" w:cs="TimesNewRoman"/>
          <w:bCs/>
          <w:sz w:val="44"/>
          <w:szCs w:val="44"/>
          <w:lang w:val="en-US"/>
        </w:rPr>
        <w:t>2</w:t>
      </w:r>
      <w:r>
        <w:rPr>
          <w:rFonts w:hint="eastAsia" w:ascii="TimesNewRoman" w:hAnsi="TimesNewRoman" w:eastAsia="黑体" w:cs="TimesNewRoman"/>
          <w:bCs/>
          <w:sz w:val="44"/>
          <w:szCs w:val="44"/>
        </w:rPr>
        <w:t>月</w:t>
      </w:r>
    </w:p>
    <w:p>
      <w:pPr>
        <w:rPr>
          <w:rFonts w:hint="eastAsia"/>
        </w:rPr>
      </w:pPr>
    </w:p>
    <w:p/>
    <w:p>
      <w:pPr>
        <w:pStyle w:val="5"/>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5"/>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2023年部门（单位）预算表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2023年收支总表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2023年收入总表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2023年支出总表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2023年财政拨款收支总表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2023年一般公共预算支出表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2023年一般公共预算基本支出表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2023年政府性基金预算支出表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2023年国有资本经营预算支出表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年项目支出表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2023年政府采购支出表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2023年政府购买服务支出表</w:t>
      </w:r>
    </w:p>
    <w:p>
      <w:pPr>
        <w:pStyle w:val="5"/>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2023年部门（单位）预算情况说明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2023年部门预算纳入绩效考评项目表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2023年部门预算专项资金管理清单（专栏公开）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（一）具体负责全市存量建设用地和城市规划区内新增建设用地的收购储备工作。</w:t>
      </w:r>
    </w:p>
    <w:p>
      <w:pPr>
        <w:pStyle w:val="5"/>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（二）承办土地使用权招标、拍卖、挂牌出让及招拍挂等用地的后期事务性工作。</w:t>
      </w:r>
    </w:p>
    <w:p>
      <w:pPr>
        <w:pStyle w:val="5"/>
        <w:adjustRightInd w:val="0"/>
        <w:snapToGrid w:val="0"/>
        <w:spacing w:line="560" w:lineRule="exact"/>
        <w:ind w:firstLine="320" w:firstLineChars="1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sz w:val="32"/>
          <w:szCs w:val="32"/>
        </w:rPr>
        <w:t>2023年度部门预算仅包括</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sz w:val="32"/>
          <w:szCs w:val="32"/>
        </w:rPr>
        <w:t>本级预算，无其他下属单位预算。</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ind w:firstLine="640" w:firstLineChars="200"/>
        <w:rPr>
          <w:rFonts w:eastAsia="仿宋_GB2312"/>
          <w:sz w:val="32"/>
          <w:szCs w:val="32"/>
        </w:rPr>
      </w:pPr>
      <w:r>
        <w:rPr>
          <w:rFonts w:hint="eastAsia" w:ascii="TimesNewRoman" w:hAnsi="TimesNewRoman" w:eastAsia="仿宋_GB2312" w:cs="TimesNewRoman"/>
          <w:bCs/>
          <w:sz w:val="32"/>
          <w:szCs w:val="32"/>
        </w:rPr>
        <w:t>（一）</w:t>
      </w:r>
      <w:r>
        <w:rPr>
          <w:rFonts w:hint="eastAsia" w:ascii="仿宋_GB2312" w:eastAsia="仿宋_GB2312"/>
          <w:b/>
          <w:bCs/>
          <w:sz w:val="32"/>
          <w:szCs w:val="32"/>
        </w:rPr>
        <w:t>谋划编制2023年度土地储备、出让计划。</w:t>
      </w:r>
      <w:r>
        <w:rPr>
          <w:rFonts w:hint="eastAsia" w:ascii="仿宋_GB2312" w:eastAsia="仿宋_GB2312"/>
          <w:bCs/>
          <w:sz w:val="32"/>
          <w:szCs w:val="32"/>
        </w:rPr>
        <w:t>根据各区政府报送的</w:t>
      </w:r>
      <w:r>
        <w:rPr>
          <w:rFonts w:ascii="仿宋_GB2312" w:eastAsia="仿宋_GB2312"/>
          <w:bCs/>
          <w:sz w:val="32"/>
          <w:szCs w:val="32"/>
        </w:rPr>
        <w:t>202</w:t>
      </w:r>
      <w:r>
        <w:rPr>
          <w:rFonts w:hint="eastAsia" w:ascii="仿宋_GB2312" w:eastAsia="仿宋_GB2312"/>
          <w:bCs/>
          <w:sz w:val="32"/>
          <w:szCs w:val="32"/>
        </w:rPr>
        <w:t>3年土地储备、出让计划，</w:t>
      </w:r>
      <w:r>
        <w:rPr>
          <w:rFonts w:hint="eastAsia" w:ascii="仿宋_GB2312" w:eastAsia="仿宋_GB2312"/>
          <w:sz w:val="32"/>
          <w:szCs w:val="32"/>
        </w:rPr>
        <w:t>进行</w:t>
      </w:r>
      <w:r>
        <w:rPr>
          <w:rFonts w:hint="eastAsia" w:ascii="仿宋_GB2312" w:eastAsia="仿宋_GB2312" w:cs="仿宋_GB2312"/>
          <w:color w:val="000000"/>
          <w:kern w:val="0"/>
          <w:sz w:val="32"/>
          <w:szCs w:val="32"/>
        </w:rPr>
        <w:t>现场勘查和情况复核，</w:t>
      </w:r>
      <w:r>
        <w:rPr>
          <w:rFonts w:hint="eastAsia" w:ascii="仿宋_GB2312" w:eastAsia="仿宋_GB2312"/>
          <w:sz w:val="32"/>
          <w:szCs w:val="32"/>
        </w:rPr>
        <w:t>深入研究各地块存在问题，按照计划进行招拍挂出让工作。</w:t>
      </w:r>
    </w:p>
    <w:p>
      <w:pPr>
        <w:ind w:right="-57" w:rightChars="-27" w:firstLine="640" w:firstLineChars="200"/>
        <w:rPr>
          <w:rFonts w:ascii="仿宋_GB2312" w:eastAsia="仿宋_GB2312"/>
          <w:sz w:val="32"/>
          <w:szCs w:val="32"/>
        </w:rPr>
      </w:pPr>
      <w:r>
        <w:rPr>
          <w:rFonts w:hint="eastAsia" w:ascii="TimesNewRoman" w:hAnsi="TimesNewRoman" w:eastAsia="仿宋_GB2312" w:cs="TimesNewRoman"/>
          <w:bCs/>
          <w:sz w:val="32"/>
          <w:szCs w:val="32"/>
        </w:rPr>
        <w:t>（二）</w:t>
      </w:r>
      <w:r>
        <w:rPr>
          <w:rFonts w:hint="eastAsia" w:ascii="仿宋_GB2312" w:eastAsia="仿宋_GB2312" w:cs="仿宋_GB2312"/>
          <w:b/>
          <w:kern w:val="0"/>
          <w:sz w:val="32"/>
          <w:szCs w:val="32"/>
        </w:rPr>
        <w:t>夯实土地储备基础提高土地出库率。</w:t>
      </w:r>
      <w:r>
        <w:rPr>
          <w:rFonts w:hint="eastAsia" w:ascii="仿宋_GB2312" w:eastAsia="仿宋_GB2312" w:cs="仿宋_GB2312"/>
          <w:kern w:val="0"/>
          <w:sz w:val="32"/>
          <w:szCs w:val="32"/>
        </w:rPr>
        <w:t>加大城市重点发展区域土地储备，优化城市空间结构。</w:t>
      </w:r>
      <w:r>
        <w:rPr>
          <w:rFonts w:hint="eastAsia" w:ascii="仿宋_GB2312" w:eastAsia="仿宋_GB2312"/>
          <w:sz w:val="32"/>
          <w:szCs w:val="32"/>
        </w:rPr>
        <w:t>对地块中存在的拆迁、权属等问题进行摸底，以净地交付为目标，将梳理出来的问题与辖区政府进行紧密对接，压实辖区政府交地的主体责任，及时向各区通报收储土地进展，督促辖区政府加大征地拆迁力度，就解决存在的问题建立时间倒排机制，缩短收储土地向“净地”转化的时间，待达到出让条件后，组织出让。充分发挥土地储备杠杆作用，增强土地储备和发展功能，为城市建设撬动更多资源、集聚更多资金。</w:t>
      </w:r>
    </w:p>
    <w:p>
      <w:pPr>
        <w:widowControl/>
        <w:ind w:firstLine="640" w:firstLineChars="200"/>
        <w:jc w:val="left"/>
        <w:rPr>
          <w:rFonts w:ascii="仿宋_GB2312" w:eastAsia="仿宋_GB2312" w:cs="仿宋_GB2312"/>
          <w:color w:val="000000"/>
          <w:kern w:val="0"/>
          <w:sz w:val="32"/>
          <w:szCs w:val="32"/>
        </w:rPr>
      </w:pPr>
      <w:r>
        <w:rPr>
          <w:rFonts w:hint="eastAsia" w:ascii="TimesNewRoman" w:hAnsi="TimesNewRoman" w:eastAsia="仿宋_GB2312" w:cs="TimesNewRoman"/>
          <w:bCs/>
          <w:sz w:val="32"/>
          <w:szCs w:val="32"/>
          <w:lang w:eastAsia="zh-CN"/>
        </w:rPr>
        <w:t>（三）</w:t>
      </w:r>
      <w:r>
        <w:rPr>
          <w:rFonts w:hint="eastAsia" w:ascii="仿宋_GB2312" w:eastAsia="仿宋_GB2312"/>
          <w:b/>
          <w:sz w:val="32"/>
          <w:szCs w:val="32"/>
        </w:rPr>
        <w:t>继续对优质地块进行包装和宣传。</w:t>
      </w:r>
      <w:r>
        <w:rPr>
          <w:rFonts w:hint="eastAsia" w:ascii="仿宋_GB2312" w:eastAsia="仿宋_GB2312"/>
          <w:sz w:val="32"/>
          <w:szCs w:val="32"/>
        </w:rPr>
        <w:t>开展高清航拍、全景看地、视频看地等模块制作，形成专业图文报道，利用互联网、移动客户端、微信公众号等多种渠道，进行专题宣传、专业推送，提升宣传面和知晓度。</w:t>
      </w:r>
      <w:r>
        <w:rPr>
          <w:rFonts w:hint="eastAsia" w:ascii="仿宋_GB2312" w:hAnsi="微软雅黑" w:eastAsia="仿宋_GB2312" w:cs="微软雅黑"/>
          <w:bCs/>
          <w:sz w:val="32"/>
          <w:szCs w:val="32"/>
        </w:rPr>
        <w:t>力争明年一季度在长三角热点城市举办土地专场推介会，</w:t>
      </w:r>
      <w:r>
        <w:rPr>
          <w:rFonts w:hint="eastAsia" w:ascii="仿宋_GB2312" w:eastAsia="仿宋_GB2312"/>
          <w:sz w:val="32"/>
          <w:szCs w:val="32"/>
        </w:rPr>
        <w:t>确保</w:t>
      </w:r>
      <w:r>
        <w:rPr>
          <w:rFonts w:hint="eastAsia" w:ascii="仿宋_GB2312" w:hAnsi="微软雅黑" w:eastAsia="仿宋_GB2312" w:cs="微软雅黑"/>
          <w:bCs/>
          <w:sz w:val="32"/>
          <w:szCs w:val="32"/>
        </w:rPr>
        <w:t>以更积极作为的方式，对冲经济环境不确定性。</w:t>
      </w:r>
      <w:r>
        <w:rPr>
          <w:rFonts w:hint="eastAsia" w:ascii="仿宋_GB2312" w:eastAsia="仿宋_GB2312" w:cs="仿宋_GB2312"/>
          <w:color w:val="000000"/>
          <w:kern w:val="0"/>
          <w:sz w:val="32"/>
          <w:szCs w:val="32"/>
        </w:rPr>
        <w:t>我们将继续坚持“走出去、引进来”的工作思路，进一步拓宽土地推介渠道，提高土地经营水平，综合我市土地市场行情与城市发展战略，借助“平台招商”“产业招商”等，广泛搜集招商信息，积极搜寻项目线索，建立有效招商网络。学习借鉴外地的运作方式，创新地产招商服务模式，积极服务来淮考察客商，吸引实力雄厚、管理先进企业投资淮北、落户淮北，助力我市土地市场持续健康发展。</w:t>
      </w:r>
    </w:p>
    <w:p>
      <w:pPr>
        <w:pStyle w:val="5"/>
        <w:adjustRightInd w:val="0"/>
        <w:snapToGrid w:val="0"/>
        <w:spacing w:line="560" w:lineRule="exact"/>
        <w:ind w:firstLine="627" w:firstLineChars="196"/>
        <w:rPr>
          <w:rFonts w:hint="eastAsia" w:ascii="TimesNewRoman" w:hAnsi="TimesNewRoman" w:eastAsia="仿宋_GB2312" w:cs="TimesNewRoman"/>
          <w:bCs/>
          <w:sz w:val="32"/>
          <w:szCs w:val="32"/>
          <w:lang w:eastAsia="zh-CN"/>
        </w:rPr>
      </w:pPr>
    </w:p>
    <w:p/>
    <w:p>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2023年部门（单位）预算表</w:t>
      </w:r>
    </w:p>
    <w:p>
      <w:pPr>
        <w:pStyle w:val="5"/>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2023年部门（单位）预算情况说明</w:t>
      </w:r>
    </w:p>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2023年收支总预算</w:t>
      </w:r>
      <w:r>
        <w:rPr>
          <w:rFonts w:hint="default" w:ascii="TimesNewRoman" w:hAnsi="TimesNewRoman" w:eastAsia="仿宋_GB2312" w:cs="TimesNewRoman"/>
          <w:sz w:val="32"/>
          <w:szCs w:val="32"/>
          <w:lang w:val="en-US"/>
        </w:rPr>
        <w:t>649.71</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城乡社区支出、自然资源海洋气象等支出、</w:t>
      </w:r>
      <w:r>
        <w:rPr>
          <w:rFonts w:hint="eastAsia" w:ascii="TimesNewRoman" w:hAnsi="TimesNewRoman" w:eastAsia="仿宋_GB2312" w:cs="TimesNewRoman"/>
          <w:sz w:val="32"/>
          <w:szCs w:val="32"/>
        </w:rPr>
        <w:t>住房保障支出。</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2023年收入预算</w:t>
      </w:r>
      <w:r>
        <w:rPr>
          <w:rFonts w:hint="default" w:ascii="TimesNewRoman" w:hAnsi="TimesNewRoman" w:eastAsia="仿宋_GB2312" w:cs="TimesNewRoman"/>
          <w:kern w:val="0"/>
          <w:sz w:val="32"/>
          <w:szCs w:val="32"/>
          <w:lang w:val="en-US"/>
        </w:rPr>
        <w:t>649.71</w:t>
      </w:r>
      <w:r>
        <w:rPr>
          <w:rFonts w:hint="eastAsia" w:ascii="TimesNewRoman" w:hAnsi="TimesNewRoman" w:eastAsia="仿宋_GB2312" w:cs="TimesNewRoman"/>
          <w:kern w:val="0"/>
          <w:sz w:val="32"/>
          <w:szCs w:val="32"/>
        </w:rPr>
        <w:t>万元，其中，本年收入</w:t>
      </w:r>
      <w:r>
        <w:rPr>
          <w:rFonts w:hint="default" w:ascii="TimesNewRoman" w:hAnsi="TimesNewRoman" w:eastAsia="仿宋_GB2312" w:cs="TimesNewRoman"/>
          <w:kern w:val="0"/>
          <w:sz w:val="32"/>
          <w:szCs w:val="32"/>
          <w:lang w:val="en-US"/>
        </w:rPr>
        <w:t>649.71</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default" w:ascii="TimesNewRoman" w:hAnsi="TimesNewRoman" w:eastAsia="仿宋_GB2312" w:cs="TimesNewRoman"/>
          <w:b/>
          <w:kern w:val="0"/>
          <w:sz w:val="32"/>
          <w:szCs w:val="32"/>
          <w:lang w:val="en-US"/>
        </w:rPr>
        <w:t>649.71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default" w:ascii="TimesNewRoman" w:hAnsi="TimesNewRoman" w:eastAsia="仿宋_GB2312" w:cs="TimesNewRoman"/>
          <w:kern w:val="0"/>
          <w:sz w:val="32"/>
          <w:szCs w:val="32"/>
          <w:lang w:val="en-US"/>
        </w:rPr>
        <w:t>349.51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53.79</w:t>
      </w:r>
      <w:r>
        <w:rPr>
          <w:rFonts w:hint="eastAsia" w:ascii="TimesNewRoman" w:hAnsi="TimesNewRoman" w:eastAsia="仿宋_GB2312" w:cs="TimesNewRoman"/>
          <w:kern w:val="0"/>
          <w:sz w:val="32"/>
          <w:szCs w:val="32"/>
        </w:rPr>
        <w:t>%，比2022年预算增加</w:t>
      </w:r>
      <w:r>
        <w:rPr>
          <w:rFonts w:hint="default" w:ascii="TimesNewRoman" w:hAnsi="TimesNewRoman" w:eastAsia="仿宋_GB2312" w:cs="TimesNewRoman"/>
          <w:kern w:val="0"/>
          <w:sz w:val="32"/>
          <w:szCs w:val="32"/>
          <w:lang w:val="en-US"/>
        </w:rPr>
        <w:t>63.72</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22.30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增加了基础绩效奖</w:t>
      </w:r>
      <w:r>
        <w:rPr>
          <w:rFonts w:hint="eastAsia" w:ascii="TimesNewRoman" w:hAnsi="TimesNewRoman" w:eastAsia="仿宋_GB2312" w:cs="TimesNewRoman"/>
          <w:kern w:val="0"/>
          <w:sz w:val="32"/>
          <w:szCs w:val="32"/>
        </w:rPr>
        <w:t>；政府性基金预算拨款收入</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46.21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2022年预算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；财政专户管理资金收入</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2022年预算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2023年支出预算</w:t>
      </w:r>
      <w:r>
        <w:rPr>
          <w:rFonts w:hint="default" w:ascii="TimesNewRoman" w:hAnsi="TimesNewRoman" w:eastAsia="仿宋_GB2312" w:cs="TimesNewRoman"/>
          <w:kern w:val="0"/>
          <w:sz w:val="32"/>
          <w:szCs w:val="32"/>
          <w:lang w:val="en-US"/>
        </w:rPr>
        <w:t>649.71</w:t>
      </w:r>
      <w:r>
        <w:rPr>
          <w:rFonts w:hint="eastAsia" w:ascii="TimesNewRoman" w:hAnsi="TimesNewRoman" w:eastAsia="仿宋_GB2312" w:cs="TimesNewRoman"/>
          <w:kern w:val="0"/>
          <w:sz w:val="32"/>
          <w:szCs w:val="32"/>
        </w:rPr>
        <w:t>万元，比2022年预算增加</w:t>
      </w:r>
      <w:r>
        <w:rPr>
          <w:rFonts w:hint="default" w:ascii="TimesNewRoman" w:hAnsi="TimesNewRoman" w:eastAsia="仿宋_GB2312" w:cs="TimesNewRoman"/>
          <w:kern w:val="0"/>
          <w:sz w:val="32"/>
          <w:szCs w:val="32"/>
          <w:lang w:val="en-US"/>
        </w:rPr>
        <w:t>63.72</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10.87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增加了基础绩效奖</w:t>
      </w:r>
      <w:r>
        <w:rPr>
          <w:rFonts w:hint="eastAsia" w:ascii="TimesNewRoman" w:hAnsi="TimesNewRoman" w:eastAsia="仿宋_GB2312" w:cs="TimesNewRoman"/>
          <w:kern w:val="0"/>
          <w:sz w:val="32"/>
          <w:szCs w:val="32"/>
        </w:rPr>
        <w:t>。其中，基本支出</w:t>
      </w:r>
      <w:r>
        <w:rPr>
          <w:rFonts w:hint="default" w:ascii="TimesNewRoman" w:hAnsi="TimesNewRoman" w:eastAsia="仿宋_GB2312" w:cs="TimesNewRoman"/>
          <w:kern w:val="0"/>
          <w:sz w:val="32"/>
          <w:szCs w:val="32"/>
          <w:lang w:val="en-US"/>
        </w:rPr>
        <w:t>349.51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53.79</w:t>
      </w:r>
      <w:r>
        <w:rPr>
          <w:rFonts w:hint="eastAsia" w:ascii="TimesNewRoman" w:hAnsi="TimesNewRoman" w:eastAsia="仿宋_GB2312" w:cs="TimesNewRoman"/>
          <w:kern w:val="0"/>
          <w:sz w:val="32"/>
          <w:szCs w:val="32"/>
        </w:rPr>
        <w:t>%，主要用于保障机构日常运转、完成日常工作任务；项目支出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46.21</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单位项目支出</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2023年财政拨款收支预算</w:t>
      </w:r>
      <w:r>
        <w:rPr>
          <w:rFonts w:hint="default" w:ascii="TimesNewRoman" w:hAnsi="TimesNewRoman" w:eastAsia="仿宋_GB2312" w:cs="TimesNewRoman"/>
          <w:kern w:val="0"/>
          <w:sz w:val="32"/>
          <w:szCs w:val="32"/>
          <w:lang w:val="en-US"/>
        </w:rPr>
        <w:t>649.71</w:t>
      </w:r>
      <w:r>
        <w:rPr>
          <w:rFonts w:hint="eastAsia" w:ascii="TimesNewRoman" w:hAnsi="TimesNewRoman" w:eastAsia="仿宋_GB2312" w:cs="TimesNewRoman"/>
          <w:kern w:val="0"/>
          <w:sz w:val="32"/>
          <w:szCs w:val="32"/>
        </w:rPr>
        <w:t>万元。收入按资金来源分为：一般公共预算拨款</w:t>
      </w:r>
      <w:r>
        <w:rPr>
          <w:rFonts w:hint="default" w:ascii="TimesNewRoman" w:hAnsi="TimesNewRoman" w:eastAsia="仿宋_GB2312" w:cs="TimesNewRoman"/>
          <w:kern w:val="0"/>
          <w:sz w:val="32"/>
          <w:szCs w:val="32"/>
          <w:lang w:val="en-US"/>
        </w:rPr>
        <w:t>349.51</w:t>
      </w:r>
      <w:r>
        <w:rPr>
          <w:rFonts w:hint="eastAsia" w:ascii="TimesNewRoman" w:hAnsi="TimesNewRoman" w:eastAsia="仿宋_GB2312" w:cs="TimesNewRoman"/>
          <w:kern w:val="0"/>
          <w:sz w:val="32"/>
          <w:szCs w:val="32"/>
        </w:rPr>
        <w:t>万元、政府性基金预算拨款</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万元；按资金年度分为：本年财政拨款收入</w:t>
      </w:r>
      <w:r>
        <w:rPr>
          <w:rFonts w:hint="default" w:ascii="TimesNewRoman" w:hAnsi="TimesNewRoman" w:eastAsia="仿宋_GB2312" w:cs="TimesNewRoman"/>
          <w:kern w:val="0"/>
          <w:sz w:val="32"/>
          <w:szCs w:val="32"/>
          <w:lang w:val="en-US"/>
        </w:rPr>
        <w:t>649.71</w:t>
      </w:r>
      <w:r>
        <w:rPr>
          <w:rFonts w:hint="eastAsia" w:ascii="TimesNewRoman" w:hAnsi="TimesNewRoman" w:eastAsia="仿宋_GB2312" w:cs="TimesNewRoman"/>
          <w:kern w:val="0"/>
          <w:sz w:val="32"/>
          <w:szCs w:val="32"/>
        </w:rPr>
        <w:t>万元。支出按功能分类分为：社会保障和就业支出</w:t>
      </w:r>
      <w:r>
        <w:rPr>
          <w:rFonts w:hint="default" w:ascii="TimesNewRoman" w:hAnsi="TimesNewRoman" w:eastAsia="仿宋_GB2312" w:cs="TimesNewRoman"/>
          <w:kern w:val="0"/>
          <w:sz w:val="32"/>
          <w:szCs w:val="32"/>
          <w:lang w:val="en-US"/>
        </w:rPr>
        <w:t>53.04</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8.16</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16.89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2.60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46.21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rPr>
        <w:t>237.86</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36.61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41.73</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6.42</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2023年一般公共预算支出</w:t>
      </w:r>
      <w:r>
        <w:rPr>
          <w:rFonts w:hint="default" w:ascii="TimesNewRoman" w:hAnsi="TimesNewRoman" w:eastAsia="仿宋_GB2312" w:cs="TimesNewRoman"/>
          <w:kern w:val="0"/>
          <w:sz w:val="32"/>
          <w:szCs w:val="32"/>
          <w:lang w:val="en-US"/>
        </w:rPr>
        <w:t>349.51</w:t>
      </w:r>
      <w:r>
        <w:rPr>
          <w:rFonts w:hint="eastAsia" w:ascii="TimesNewRoman" w:hAnsi="TimesNewRoman" w:eastAsia="仿宋_GB2312" w:cs="TimesNewRoman"/>
          <w:kern w:val="0"/>
          <w:sz w:val="32"/>
          <w:szCs w:val="32"/>
        </w:rPr>
        <w:t>万元，比2022年预算增加</w:t>
      </w:r>
      <w:r>
        <w:rPr>
          <w:rFonts w:hint="default" w:ascii="TimesNewRoman" w:hAnsi="TimesNewRoman" w:eastAsia="仿宋_GB2312" w:cs="TimesNewRoman"/>
          <w:kern w:val="0"/>
          <w:sz w:val="32"/>
          <w:szCs w:val="32"/>
          <w:lang w:val="en-US"/>
        </w:rPr>
        <w:t>63.72</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22.30</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eastAsia="zh-CN"/>
        </w:rPr>
        <w:t>增加了绩效奖金</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eastAsia="zh-CN"/>
        </w:rPr>
        <w:t>社保、公积金基数调整</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default" w:ascii="TimesNewRoman" w:hAnsi="TimesNewRoman" w:eastAsia="仿宋_GB2312" w:cs="TimesNewRoman"/>
          <w:kern w:val="0"/>
          <w:sz w:val="32"/>
          <w:szCs w:val="32"/>
          <w:lang w:val="en-US"/>
        </w:rPr>
        <w:t>53.04</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15.18</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16.89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4.83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rPr>
        <w:t>237.86</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68.06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41.73</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11.94</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w:t>
      </w:r>
      <w:r>
        <w:rPr>
          <w:rFonts w:hint="eastAsia" w:ascii="仿宋_GB2312" w:hAnsi="仿宋" w:eastAsia="仿宋_GB2312"/>
          <w:sz w:val="32"/>
          <w:szCs w:val="32"/>
        </w:rPr>
        <w:t>社会保障和就业支出（类）行政事业单位养老支出（款）</w:t>
      </w:r>
      <w:r>
        <w:rPr>
          <w:rFonts w:hint="eastAsia" w:ascii="仿宋_GB2312" w:hAnsi="仿宋" w:eastAsia="仿宋_GB2312"/>
          <w:sz w:val="32"/>
          <w:szCs w:val="32"/>
          <w:lang w:eastAsia="zh-CN"/>
        </w:rPr>
        <w:t>事业</w:t>
      </w:r>
      <w:r>
        <w:rPr>
          <w:rFonts w:hint="eastAsia" w:ascii="仿宋_GB2312" w:hAnsi="仿宋" w:eastAsia="仿宋_GB2312"/>
          <w:sz w:val="32"/>
          <w:szCs w:val="32"/>
        </w:rPr>
        <w:t>单位离退休（项）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5.48</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5.4</w:t>
      </w:r>
      <w:r>
        <w:rPr>
          <w:rFonts w:hint="eastAsia" w:ascii="仿宋_GB2312" w:hAnsi="仿宋" w:eastAsia="仿宋_GB2312"/>
          <w:sz w:val="32"/>
          <w:szCs w:val="32"/>
        </w:rPr>
        <w:t>万元，增长</w:t>
      </w:r>
      <w:r>
        <w:rPr>
          <w:rFonts w:hint="default" w:ascii="仿宋_GB2312" w:hAnsi="仿宋" w:eastAsia="仿宋_GB2312"/>
          <w:sz w:val="32"/>
          <w:szCs w:val="32"/>
          <w:lang w:val="en-US" w:eastAsia="zh-CN"/>
        </w:rPr>
        <w:t>6750</w:t>
      </w:r>
      <w:r>
        <w:rPr>
          <w:rFonts w:hint="eastAsia" w:ascii="仿宋_GB2312" w:hAnsi="仿宋" w:eastAsia="仿宋_GB2312"/>
          <w:sz w:val="32"/>
          <w:szCs w:val="32"/>
        </w:rPr>
        <w:t>%，增长原因主要是</w:t>
      </w:r>
      <w:r>
        <w:rPr>
          <w:rFonts w:hint="eastAsia" w:ascii="仿宋_GB2312" w:hAnsi="仿宋" w:eastAsia="仿宋_GB2312"/>
          <w:sz w:val="32"/>
          <w:szCs w:val="32"/>
          <w:highlight w:val="none"/>
          <w:lang w:eastAsia="zh-CN"/>
        </w:rPr>
        <w:t>增加退休人员绩效奖金</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US" w:eastAsia="zh-CN"/>
        </w:rPr>
        <w:t>2</w:t>
      </w:r>
      <w:r>
        <w:rPr>
          <w:rFonts w:hint="eastAsia" w:ascii="仿宋_GB2312" w:hAnsi="仿宋" w:eastAsia="仿宋_GB2312"/>
          <w:b/>
          <w:sz w:val="32"/>
          <w:szCs w:val="32"/>
        </w:rPr>
        <w:t>.</w:t>
      </w:r>
      <w:r>
        <w:rPr>
          <w:rFonts w:hint="eastAsia" w:ascii="仿宋_GB2312" w:hAnsi="仿宋" w:eastAsia="仿宋_GB2312"/>
          <w:sz w:val="32"/>
          <w:szCs w:val="32"/>
        </w:rPr>
        <w:t>社会保障和就业支出（类）行政事业单位养老支出（款）机关事业单位基本养老保险缴费支出（项）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31.04</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7.69</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32.93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，增长原因主要是</w:t>
      </w:r>
      <w:r>
        <w:rPr>
          <w:rFonts w:hint="eastAsia" w:ascii="仿宋_GB2312" w:hAnsi="仿宋" w:eastAsia="仿宋_GB2312"/>
          <w:sz w:val="32"/>
          <w:szCs w:val="32"/>
          <w:highlight w:val="none"/>
          <w:lang w:eastAsia="zh-CN"/>
        </w:rPr>
        <w:t>社保基数调整及人员变动</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default" w:ascii="仿宋_GB2312" w:hAnsi="仿宋" w:eastAsia="仿宋_GB2312"/>
          <w:b/>
          <w:sz w:val="32"/>
          <w:szCs w:val="32"/>
          <w:lang w:val="en-US" w:eastAsia="zh-CN"/>
        </w:rPr>
        <w:t>3</w:t>
      </w:r>
      <w:r>
        <w:rPr>
          <w:rFonts w:hint="eastAsia" w:ascii="仿宋_GB2312" w:hAnsi="仿宋" w:eastAsia="仿宋_GB2312"/>
          <w:b/>
          <w:sz w:val="32"/>
          <w:szCs w:val="32"/>
        </w:rPr>
        <w:t>.</w:t>
      </w:r>
      <w:r>
        <w:rPr>
          <w:rFonts w:hint="eastAsia" w:ascii="仿宋_GB2312" w:hAnsi="仿宋" w:eastAsia="仿宋_GB2312"/>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15.52</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3.84</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32.88</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，增长原因主要是</w:t>
      </w:r>
      <w:r>
        <w:rPr>
          <w:rFonts w:hint="eastAsia" w:ascii="仿宋_GB2312" w:hAnsi="仿宋" w:eastAsia="仿宋_GB2312"/>
          <w:sz w:val="32"/>
          <w:szCs w:val="32"/>
          <w:highlight w:val="none"/>
          <w:lang w:eastAsia="zh-CN"/>
        </w:rPr>
        <w:t>社保基数调整及人员变动</w:t>
      </w:r>
      <w:r>
        <w:rPr>
          <w:rFonts w:hint="eastAsia" w:ascii="仿宋_GB2312" w:hAnsi="仿宋" w:eastAsia="仿宋_GB2312"/>
          <w:sz w:val="32"/>
          <w:szCs w:val="32"/>
        </w:rPr>
        <w:t>。</w:t>
      </w:r>
    </w:p>
    <w:p>
      <w:pPr>
        <w:adjustRightInd w:val="0"/>
        <w:snapToGrid w:val="0"/>
        <w:spacing w:line="600" w:lineRule="exact"/>
        <w:ind w:firstLine="643" w:firstLineChars="200"/>
        <w:rPr>
          <w:rFonts w:hint="default" w:ascii="仿宋_GB2312" w:hAnsi="仿宋" w:eastAsia="仿宋_GB2312"/>
          <w:sz w:val="32"/>
          <w:szCs w:val="32"/>
          <w:lang w:val="en-US"/>
        </w:rPr>
      </w:pPr>
      <w:r>
        <w:rPr>
          <w:rFonts w:hint="default" w:ascii="仿宋_GB2312" w:hAnsi="仿宋" w:eastAsia="仿宋_GB2312"/>
          <w:b/>
          <w:sz w:val="32"/>
          <w:szCs w:val="32"/>
          <w:lang w:val="en-US" w:eastAsia="zh-CN"/>
        </w:rPr>
        <w:t>4</w:t>
      </w:r>
      <w:r>
        <w:rPr>
          <w:rFonts w:hint="eastAsia" w:ascii="仿宋_GB2312" w:hAnsi="仿宋" w:eastAsia="仿宋_GB2312"/>
          <w:b/>
          <w:sz w:val="32"/>
          <w:szCs w:val="32"/>
        </w:rPr>
        <w:t>.</w:t>
      </w:r>
      <w:r>
        <w:rPr>
          <w:rFonts w:hint="eastAsia" w:ascii="仿宋_GB2312" w:hAnsi="仿宋" w:eastAsia="仿宋_GB2312"/>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0.99</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0.03</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default" w:ascii="TimesNewRoman" w:hAnsi="TimesNewRoman" w:eastAsia="仿宋_GB2312" w:cs="TimesNewRoman"/>
          <w:kern w:val="0"/>
          <w:sz w:val="32"/>
          <w:szCs w:val="32"/>
          <w:lang w:val="en-US" w:eastAsia="zh-CN"/>
        </w:rPr>
        <w:t>2.94</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0" w:firstLineChars="200"/>
        <w:rPr>
          <w:rFonts w:ascii="仿宋_GB2312" w:hAnsi="仿宋" w:eastAsia="仿宋_GB2312"/>
          <w:sz w:val="32"/>
          <w:szCs w:val="32"/>
        </w:rPr>
      </w:pPr>
      <w:r>
        <w:rPr>
          <w:rFonts w:hint="default" w:ascii="仿宋_GB2312" w:hAnsi="仿宋" w:eastAsia="仿宋_GB2312"/>
          <w:sz w:val="32"/>
          <w:szCs w:val="32"/>
          <w:lang w:val="en-US"/>
        </w:rPr>
        <w:t xml:space="preserve"> </w:t>
      </w:r>
      <w:r>
        <w:rPr>
          <w:rFonts w:hint="default" w:ascii="仿宋_GB2312" w:hAnsi="仿宋" w:eastAsia="仿宋_GB2312"/>
          <w:b/>
          <w:sz w:val="32"/>
          <w:szCs w:val="32"/>
          <w:lang w:val="en-US" w:eastAsia="zh-CN"/>
        </w:rPr>
        <w:t>5</w:t>
      </w:r>
      <w:r>
        <w:rPr>
          <w:rFonts w:hint="eastAsia" w:ascii="仿宋_GB2312" w:hAnsi="仿宋" w:eastAsia="仿宋_GB2312"/>
          <w:b/>
          <w:sz w:val="32"/>
          <w:szCs w:val="32"/>
        </w:rPr>
        <w:t>.</w:t>
      </w:r>
      <w:r>
        <w:rPr>
          <w:rFonts w:hint="eastAsia" w:ascii="仿宋_GB2312" w:hAnsi="仿宋" w:eastAsia="仿宋_GB2312"/>
          <w:sz w:val="32"/>
          <w:szCs w:val="32"/>
        </w:rPr>
        <w:t>卫生健康支出（类）行政事业单位医疗（款）公务员医疗补助（项）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5.02</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0.64</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14.61</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，增长原因主要是</w:t>
      </w:r>
      <w:r>
        <w:rPr>
          <w:rFonts w:hint="eastAsia" w:ascii="仿宋_GB2312" w:hAnsi="仿宋" w:eastAsia="仿宋_GB2312"/>
          <w:sz w:val="32"/>
          <w:szCs w:val="32"/>
          <w:highlight w:val="none"/>
          <w:lang w:eastAsia="zh-CN"/>
        </w:rPr>
        <w:t>社保基数调整及人员变动</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US" w:eastAsia="zh-CN"/>
        </w:rPr>
        <w:t>6</w:t>
      </w:r>
      <w:r>
        <w:rPr>
          <w:rFonts w:hint="eastAsia" w:ascii="仿宋_GB2312" w:hAnsi="仿宋" w:eastAsia="仿宋_GB2312"/>
          <w:b/>
          <w:sz w:val="32"/>
          <w:szCs w:val="32"/>
        </w:rPr>
        <w:t>.</w:t>
      </w:r>
      <w:r>
        <w:rPr>
          <w:rFonts w:hint="eastAsia" w:ascii="仿宋_GB2312" w:hAnsi="仿宋" w:eastAsia="仿宋_GB2312"/>
          <w:sz w:val="32"/>
          <w:szCs w:val="32"/>
        </w:rPr>
        <w:t>卫生健康支出（类）行政事业单位医疗（款）事业单位医疗支出（项）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11.87</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0.59</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default" w:ascii="TimesNewRoman" w:hAnsi="TimesNewRoman" w:eastAsia="仿宋_GB2312" w:cs="TimesNewRoman"/>
          <w:kern w:val="0"/>
          <w:sz w:val="32"/>
          <w:szCs w:val="32"/>
          <w:lang w:val="en-US" w:eastAsia="zh-CN"/>
        </w:rPr>
        <w:t>4.74</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US" w:eastAsia="zh-CN"/>
        </w:rPr>
        <w:t>7</w:t>
      </w:r>
      <w:r>
        <w:rPr>
          <w:rFonts w:hint="eastAsia" w:ascii="仿宋_GB2312" w:hAnsi="仿宋" w:eastAsia="仿宋_GB2312"/>
          <w:b/>
          <w:sz w:val="32"/>
          <w:szCs w:val="32"/>
        </w:rPr>
        <w:t>.</w:t>
      </w:r>
      <w:r>
        <w:rPr>
          <w:rFonts w:hint="eastAsia" w:ascii="仿宋_GB2312" w:hAnsi="仿宋" w:eastAsia="仿宋_GB2312"/>
          <w:sz w:val="32"/>
          <w:szCs w:val="32"/>
        </w:rPr>
        <w:t>自然资源海洋气象等支出（类）自然资源事务（款）事业运行（项）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237.86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41.7</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21.26</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，增长原因主要是</w:t>
      </w:r>
      <w:r>
        <w:rPr>
          <w:rFonts w:hint="eastAsia" w:ascii="仿宋_GB2312" w:hAnsi="仿宋" w:eastAsia="仿宋_GB2312"/>
          <w:sz w:val="32"/>
          <w:szCs w:val="32"/>
          <w:highlight w:val="none"/>
          <w:lang w:eastAsia="zh-CN"/>
        </w:rPr>
        <w:t>增加了绩效奖金及人员变动</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US" w:eastAsia="zh-CN"/>
        </w:rPr>
        <w:t>8</w:t>
      </w:r>
      <w:r>
        <w:rPr>
          <w:rFonts w:hint="eastAsia" w:ascii="仿宋_GB2312" w:hAnsi="仿宋" w:eastAsia="仿宋_GB2312"/>
          <w:b/>
          <w:sz w:val="32"/>
          <w:szCs w:val="32"/>
        </w:rPr>
        <w:t>.</w:t>
      </w:r>
      <w:r>
        <w:rPr>
          <w:rFonts w:hint="eastAsia" w:ascii="仿宋_GB2312" w:hAnsi="仿宋" w:eastAsia="仿宋_GB2312"/>
          <w:sz w:val="32"/>
          <w:szCs w:val="32"/>
        </w:rPr>
        <w:t>住房保障支出（类）住房改革支出（款）住房公积金（项）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29.45</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4.04</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15.90</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，增长原因主要是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US" w:eastAsia="zh-CN"/>
        </w:rPr>
        <w:t>9</w:t>
      </w:r>
      <w:r>
        <w:rPr>
          <w:rFonts w:hint="eastAsia" w:ascii="仿宋_GB2312" w:hAnsi="仿宋" w:eastAsia="仿宋_GB2312"/>
          <w:b/>
          <w:sz w:val="32"/>
          <w:szCs w:val="32"/>
        </w:rPr>
        <w:t>.</w:t>
      </w:r>
      <w:r>
        <w:rPr>
          <w:rFonts w:hint="eastAsia" w:ascii="仿宋_GB2312" w:hAnsi="仿宋" w:eastAsia="仿宋_GB2312"/>
          <w:sz w:val="32"/>
          <w:szCs w:val="32"/>
        </w:rPr>
        <w:t>住房保障支出（类）住房改革支出（款）购房补贴（项）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12.27</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2</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1.68</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15.86</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，增长原因主要是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2023年一般公共预算基本支出</w:t>
      </w:r>
      <w:r>
        <w:rPr>
          <w:rFonts w:hint="default" w:ascii="TimesNewRoman" w:hAnsi="TimesNewRoman" w:eastAsia="仿宋_GB2312" w:cs="TimesNewRoman"/>
          <w:kern w:val="0"/>
          <w:sz w:val="32"/>
          <w:szCs w:val="32"/>
          <w:lang w:val="en-US"/>
        </w:rPr>
        <w:t>349.51</w:t>
      </w:r>
      <w:r>
        <w:rPr>
          <w:rFonts w:hint="eastAsia" w:ascii="TimesNewRoman" w:hAnsi="TimesNewRoman" w:eastAsia="仿宋_GB2312" w:cs="TimesNewRoman"/>
          <w:kern w:val="0"/>
          <w:sz w:val="32"/>
          <w:szCs w:val="32"/>
        </w:rPr>
        <w:t>万元，其中，人员经费</w:t>
      </w:r>
      <w:r>
        <w:rPr>
          <w:rFonts w:hint="default" w:ascii="TimesNewRoman" w:hAnsi="TimesNewRoman" w:eastAsia="仿宋_GB2312" w:cs="TimesNewRoman"/>
          <w:kern w:val="0"/>
          <w:sz w:val="32"/>
          <w:szCs w:val="32"/>
          <w:lang w:val="en-US"/>
        </w:rPr>
        <w:t>321.51</w:t>
      </w:r>
      <w:r>
        <w:rPr>
          <w:rFonts w:hint="eastAsia" w:ascii="TimesNewRoman" w:hAnsi="TimesNewRoman" w:eastAsia="仿宋_GB2312" w:cs="TimesNewRoman"/>
          <w:kern w:val="0"/>
          <w:sz w:val="32"/>
          <w:szCs w:val="32"/>
        </w:rPr>
        <w:t>万元，公用经费</w:t>
      </w:r>
      <w:r>
        <w:rPr>
          <w:rFonts w:hint="default" w:ascii="TimesNewRoman" w:hAnsi="TimesNewRoman" w:eastAsia="仿宋_GB2312" w:cs="TimesNewRoman"/>
          <w:kern w:val="0"/>
          <w:sz w:val="32"/>
          <w:szCs w:val="32"/>
          <w:lang w:val="en-US"/>
        </w:rPr>
        <w:t>28</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default" w:ascii="TimesNewRoman" w:hAnsi="TimesNewRoman" w:eastAsia="仿宋_GB2312" w:cs="TimesNewRoman"/>
          <w:b/>
          <w:kern w:val="0"/>
          <w:sz w:val="32"/>
          <w:szCs w:val="32"/>
          <w:lang w:val="en-US"/>
        </w:rPr>
        <w:t>321.51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办公费、工会经费、</w:t>
      </w:r>
      <w:r>
        <w:rPr>
          <w:rFonts w:hint="eastAsia" w:ascii="TimesNewRoman" w:hAnsi="TimesNewRoman" w:eastAsia="仿宋_GB2312" w:cs="TimesNewRoman"/>
          <w:kern w:val="0"/>
          <w:sz w:val="32"/>
          <w:szCs w:val="32"/>
        </w:rPr>
        <w:t>福利费、住房公积金、</w:t>
      </w:r>
      <w:r>
        <w:rPr>
          <w:rFonts w:hint="eastAsia" w:ascii="TimesNewRoman" w:hAnsi="TimesNewRoman" w:eastAsia="仿宋_GB2312" w:cs="TimesNewRoman"/>
          <w:kern w:val="0"/>
          <w:sz w:val="32"/>
          <w:szCs w:val="32"/>
          <w:lang w:eastAsia="zh-CN"/>
        </w:rPr>
        <w:t>其他商品和服务支出、</w:t>
      </w:r>
      <w:r>
        <w:rPr>
          <w:rFonts w:hint="eastAsia" w:ascii="TimesNewRoman" w:hAnsi="TimesNewRoman" w:eastAsia="仿宋_GB2312" w:cs="TimesNewRoman"/>
          <w:kern w:val="0"/>
          <w:sz w:val="32"/>
          <w:szCs w:val="32"/>
        </w:rPr>
        <w:t>医疗费</w:t>
      </w:r>
      <w:r>
        <w:rPr>
          <w:rFonts w:hint="eastAsia" w:ascii="TimesNewRoman" w:hAnsi="TimesNewRoman" w:eastAsia="仿宋_GB2312" w:cs="TimesNewRoman"/>
          <w:kern w:val="0"/>
          <w:sz w:val="32"/>
          <w:szCs w:val="32"/>
          <w:lang w:eastAsia="zh-CN"/>
        </w:rPr>
        <w:t>补助</w:t>
      </w:r>
      <w:r>
        <w:rPr>
          <w:rFonts w:hint="eastAsia" w:ascii="TimesNewRoman" w:hAnsi="TimesNewRoman" w:eastAsia="仿宋_GB2312" w:cs="TimesNewRoman"/>
          <w:kern w:val="0"/>
          <w:sz w:val="32"/>
          <w:szCs w:val="32"/>
        </w:rPr>
        <w:t>、退休费、对其他个人和家庭的补助支出。</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default" w:ascii="TimesNewRoman" w:hAnsi="TimesNewRoman" w:eastAsia="仿宋_GB2312" w:cs="TimesNewRoman"/>
          <w:b/>
          <w:kern w:val="0"/>
          <w:sz w:val="32"/>
          <w:szCs w:val="32"/>
          <w:lang w:val="en-US"/>
        </w:rPr>
        <w:t>28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主要包括：公务用车运行维护费、其他商品服务支出。</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2023年政府性基金支出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default" w:ascii="TimesNewRoman" w:hAnsi="TimesNewRoman" w:eastAsia="仿宋_GB2312" w:cs="TimesNewRoman"/>
          <w:kern w:val="0"/>
          <w:sz w:val="32"/>
          <w:szCs w:val="32"/>
          <w:lang w:val="en-US" w:eastAsia="zh-CN"/>
        </w:rPr>
        <w:t>2022</w:t>
      </w:r>
      <w:r>
        <w:rPr>
          <w:rFonts w:hint="eastAsia" w:ascii="TimesNewRoman" w:hAnsi="TimesNewRoman" w:eastAsia="仿宋_GB2312" w:cs="TimesNewRoman"/>
          <w:kern w:val="0"/>
          <w:sz w:val="32"/>
          <w:szCs w:val="32"/>
          <w:lang w:val="en-US" w:eastAsia="zh-CN"/>
        </w:rPr>
        <w:t>年预算一致。</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lang w:eastAsia="zh-CN"/>
        </w:rPr>
        <w:t>）城乡社区支出</w:t>
      </w:r>
      <w:r>
        <w:rPr>
          <w:rFonts w:hint="eastAsia" w:ascii="TimesNewRoman" w:hAnsi="TimesNewRoman" w:eastAsia="仿宋_GB2312" w:cs="TimesNewRoman"/>
          <w:b/>
          <w:kern w:val="0"/>
          <w:sz w:val="32"/>
          <w:szCs w:val="32"/>
        </w:rPr>
        <w:t>（类）</w:t>
      </w:r>
      <w:r>
        <w:rPr>
          <w:rFonts w:hint="eastAsia" w:ascii="TimesNewRoman" w:hAnsi="TimesNewRoman" w:eastAsia="仿宋_GB2312" w:cs="TimesNewRoman"/>
          <w:b/>
          <w:kern w:val="0"/>
          <w:sz w:val="32"/>
          <w:szCs w:val="32"/>
          <w:lang w:eastAsia="zh-CN"/>
        </w:rPr>
        <w:t>国有土地使用权出让收入安排的支出</w:t>
      </w:r>
      <w:r>
        <w:rPr>
          <w:rFonts w:hint="eastAsia" w:ascii="TimesNewRoman" w:hAnsi="TimesNewRoman" w:eastAsia="仿宋_GB2312" w:cs="TimesNewRoman"/>
          <w:b/>
          <w:kern w:val="0"/>
          <w:sz w:val="32"/>
          <w:szCs w:val="32"/>
        </w:rPr>
        <w:t>（款）</w:t>
      </w:r>
      <w:r>
        <w:rPr>
          <w:rFonts w:hint="eastAsia" w:ascii="TimesNewRoman" w:hAnsi="TimesNewRoman" w:eastAsia="仿宋_GB2312" w:cs="TimesNewRoman"/>
          <w:b/>
          <w:kern w:val="0"/>
          <w:sz w:val="32"/>
          <w:szCs w:val="32"/>
          <w:lang w:eastAsia="zh-CN"/>
        </w:rPr>
        <w:t>土地出让业务支出</w:t>
      </w:r>
      <w:r>
        <w:rPr>
          <w:rFonts w:hint="eastAsia" w:ascii="TimesNewRoman" w:hAnsi="TimesNewRoman" w:eastAsia="仿宋_GB2312" w:cs="TimesNewRoman"/>
          <w:b/>
          <w:kern w:val="0"/>
          <w:sz w:val="32"/>
          <w:szCs w:val="32"/>
        </w:rPr>
        <w:t>（项）</w:t>
      </w:r>
      <w:r>
        <w:rPr>
          <w:rFonts w:hint="eastAsia" w:ascii="TimesNewRoman" w:hAnsi="TimesNewRoman" w:eastAsia="仿宋_GB2312" w:cs="TimesNewRoman"/>
          <w:kern w:val="0"/>
          <w:sz w:val="32"/>
          <w:szCs w:val="32"/>
        </w:rPr>
        <w:t>2023年预算</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default" w:ascii="TimesNewRoman" w:hAnsi="TimesNewRoman" w:eastAsia="仿宋_GB2312" w:cs="TimesNewRoman"/>
          <w:kern w:val="0"/>
          <w:sz w:val="32"/>
          <w:szCs w:val="32"/>
          <w:lang w:val="en-US" w:eastAsia="zh-CN"/>
        </w:rPr>
        <w:t>2022</w:t>
      </w:r>
      <w:r>
        <w:rPr>
          <w:rFonts w:hint="eastAsia" w:ascii="TimesNewRoman" w:hAnsi="TimesNewRoman" w:eastAsia="仿宋_GB2312" w:cs="TimesNewRoman"/>
          <w:kern w:val="0"/>
          <w:sz w:val="32"/>
          <w:szCs w:val="32"/>
          <w:lang w:val="en-US" w:eastAsia="zh-CN"/>
        </w:rPr>
        <w:t>年预算一致</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2023年预算共安排项目支出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default" w:ascii="TimesNewRoman" w:hAnsi="TimesNewRoman" w:eastAsia="仿宋_GB2312" w:cs="TimesNewRoman"/>
          <w:kern w:val="0"/>
          <w:sz w:val="32"/>
          <w:szCs w:val="32"/>
          <w:lang w:val="en-US" w:eastAsia="zh-CN"/>
        </w:rPr>
        <w:t>2022</w:t>
      </w:r>
      <w:r>
        <w:rPr>
          <w:rFonts w:hint="eastAsia" w:ascii="TimesNewRoman" w:hAnsi="TimesNewRoman" w:eastAsia="仿宋_GB2312" w:cs="TimesNewRoman"/>
          <w:kern w:val="0"/>
          <w:sz w:val="32"/>
          <w:szCs w:val="32"/>
          <w:lang w:val="en-US" w:eastAsia="zh-CN"/>
        </w:rPr>
        <w:t>年预算一致</w:t>
      </w:r>
      <w:r>
        <w:rPr>
          <w:rFonts w:hint="eastAsia" w:ascii="TimesNewRoman" w:hAnsi="TimesNewRoman" w:eastAsia="仿宋_GB2312" w:cs="TimesNewRoman"/>
          <w:kern w:val="0"/>
          <w:sz w:val="32"/>
          <w:szCs w:val="32"/>
        </w:rPr>
        <w:t>。主要包括：本年财政拨款安排</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万元（其中，一般公共预算拨款安排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万元，政府性基金预算拨款安排</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2023年预算安排政府采购支出</w:t>
      </w:r>
      <w:r>
        <w:rPr>
          <w:rFonts w:hint="default" w:ascii="TimesNewRoman" w:hAnsi="TimesNewRoman" w:eastAsia="仿宋_GB2312" w:cs="TimesNewRoman"/>
          <w:kern w:val="0"/>
          <w:sz w:val="32"/>
          <w:szCs w:val="32"/>
          <w:lang w:val="en-US"/>
        </w:rPr>
        <w:t>150.90</w:t>
      </w:r>
      <w:r>
        <w:rPr>
          <w:rFonts w:hint="eastAsia" w:ascii="TimesNewRoman" w:hAnsi="TimesNewRoman" w:eastAsia="仿宋_GB2312" w:cs="TimesNewRoman"/>
          <w:kern w:val="0"/>
          <w:sz w:val="32"/>
          <w:szCs w:val="32"/>
        </w:rPr>
        <w:t>万元，比2022年预算增加</w:t>
      </w:r>
      <w:r>
        <w:rPr>
          <w:rFonts w:hint="default" w:ascii="TimesNewRoman" w:hAnsi="TimesNewRoman" w:eastAsia="仿宋_GB2312" w:cs="TimesNewRoman"/>
          <w:kern w:val="0"/>
          <w:sz w:val="32"/>
          <w:szCs w:val="32"/>
          <w:lang w:val="en-US"/>
        </w:rPr>
        <w:t>63.4</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72.46</w:t>
      </w:r>
      <w:r>
        <w:rPr>
          <w:rFonts w:hint="eastAsia" w:ascii="TimesNewRoman" w:hAnsi="TimesNewRoman" w:eastAsia="仿宋_GB2312" w:cs="TimesNewRoman"/>
          <w:kern w:val="0"/>
          <w:sz w:val="32"/>
          <w:szCs w:val="32"/>
        </w:rPr>
        <w:t>%，原因主要是政府</w:t>
      </w:r>
      <w:r>
        <w:rPr>
          <w:rFonts w:hint="eastAsia" w:ascii="TimesNewRoman" w:hAnsi="TimesNewRoman" w:eastAsia="仿宋_GB2312" w:cs="TimesNewRoman"/>
          <w:kern w:val="0"/>
          <w:sz w:val="32"/>
          <w:szCs w:val="32"/>
          <w:lang w:val="en-US" w:eastAsia="zh-CN"/>
        </w:rPr>
        <w:t>采购</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。其中，一般公共预算安排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%；政府性基金预算安排</w:t>
      </w:r>
      <w:r>
        <w:rPr>
          <w:rFonts w:hint="default" w:ascii="TimesNewRoman" w:hAnsi="TimesNewRoman" w:eastAsia="仿宋_GB2312" w:cs="TimesNewRoman"/>
          <w:kern w:val="0"/>
          <w:sz w:val="32"/>
          <w:szCs w:val="32"/>
          <w:lang w:val="en-US"/>
        </w:rPr>
        <w:t>150.90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100</w:t>
      </w:r>
      <w:r>
        <w:rPr>
          <w:rFonts w:hint="eastAsia" w:ascii="TimesNewRoman" w:hAnsi="TimesNewRoman" w:eastAsia="仿宋_GB2312" w:cs="TimesNewRoman"/>
          <w:kern w:val="0"/>
          <w:sz w:val="32"/>
          <w:szCs w:val="32"/>
        </w:rPr>
        <w:t>%；财政专户管理资金安排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2023年没有安排政府购买服务支出。</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adjustRightInd w:val="0"/>
        <w:snapToGrid w:val="0"/>
        <w:spacing w:line="600" w:lineRule="exact"/>
        <w:ind w:firstLine="800" w:firstLineChars="250"/>
        <w:rPr>
          <w:rFonts w:hint="default" w:ascii="仿宋_GB2312" w:hAnsi="楷体" w:eastAsia="仿宋_GB2312"/>
          <w:b/>
          <w:sz w:val="32"/>
          <w:szCs w:val="32"/>
          <w:lang w:val="en-US" w:eastAsia="zh-CN"/>
        </w:rPr>
      </w:pPr>
      <w:r>
        <w:rPr>
          <w:rFonts w:hint="default" w:ascii="TimesNewRoman" w:hAnsi="TimesNewRoman" w:eastAsia="仿宋_GB2312" w:cs="TimesNewRoman"/>
          <w:b w:val="0"/>
          <w:bCs/>
          <w:sz w:val="32"/>
          <w:szCs w:val="32"/>
          <w:lang w:val="en-US" w:eastAsia="zh-CN"/>
        </w:rPr>
        <w:t>1</w:t>
      </w:r>
      <w:r>
        <w:rPr>
          <w:rFonts w:hint="eastAsia" w:ascii="TimesNewRoman" w:hAnsi="TimesNewRoman" w:eastAsia="仿宋_GB2312" w:cs="TimesNewRoman"/>
          <w:b w:val="0"/>
          <w:bCs/>
          <w:sz w:val="32"/>
          <w:szCs w:val="32"/>
          <w:lang w:val="en-US" w:eastAsia="zh-CN"/>
        </w:rPr>
        <w:t>、</w:t>
      </w:r>
      <w:r>
        <w:rPr>
          <w:rFonts w:hint="eastAsia" w:ascii="仿宋_GB2312" w:hAnsi="楷体" w:eastAsia="仿宋_GB2312"/>
          <w:b/>
          <w:sz w:val="32"/>
          <w:szCs w:val="32"/>
          <w:lang w:val="en-US" w:eastAsia="zh-CN"/>
        </w:rPr>
        <w:t>“土地调查研究宣传推介费”</w:t>
      </w:r>
      <w:r>
        <w:rPr>
          <w:rFonts w:hint="eastAsia" w:ascii="仿宋_GB2312" w:hAnsi="楷体" w:eastAsia="仿宋_GB2312"/>
          <w:b w:val="0"/>
          <w:bCs/>
          <w:sz w:val="32"/>
          <w:szCs w:val="32"/>
          <w:lang w:val="en-US" w:eastAsia="zh-CN"/>
        </w:rPr>
        <w:t>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1.在土地收储、供应及农转用报批，报件、组件等工作中，要对地块的位置、面积、利用现状等进行地块前期摸底、地籍调查、研究，制定收储土地补偿方案，督促各区政府按照收储补偿方案对土地范围内附属物的拆迁安置进行补偿工作。2、加大土地宣传推介，参加全国性的土地展，搭建“淮北馆”，设计印刷土地推介示意图、推介手册，制作地块航拍和720度全景看地模块。展现美好的城市形象，吸引意向投资商 关注淮北、了解淮北、投资淮北。小分队上门走访，保证了土地推介的精准度，切实达到“真招商、招真商”的目的。吸引实力房企赴淮北开展调研考察。</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（2）立项依据。财综字[1995]第326号 、《淮北市人民政府关于进一步做好招商引资工作的意见》（淮政（2017）32号）、淮北市土地招商推介年度服务项目采购合同。</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（3）实施主体。淮北市土地储备发展中心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val="en-US" w:eastAsia="zh-CN"/>
        </w:rPr>
        <w:t>.12。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1.针对工业用地和经营性用地的不同情况，按程序认真对收储的土地进行权属核查、地籍调查、利用现状、地价评估、效益测算等进行摸底调查和研究，全面掌握土地的基本情况，为土地收储，最后进入招拍挂创造有力的环境。2.土地宣传，增强了依法合理利用土地和集约节约用地意识，加大土地推广力度，创造稳定、规范、高效的土地运营市场。3、土地推介活动采取3种模式混合方式进行，即参加全国性大型推介会，小分队上门走访和借助第三方进行网上推介，切实达到“真招商，招真商”的目的。</w:t>
      </w:r>
      <w:r>
        <w:rPr>
          <w:rFonts w:hint="default" w:ascii="TimesNewRoman" w:hAnsi="TimesNewRoman" w:eastAsia="仿宋_GB2312" w:cs="TimesNewRoman"/>
          <w:kern w:val="0"/>
          <w:sz w:val="32"/>
          <w:szCs w:val="32"/>
          <w:lang w:val="en-US" w:eastAsia="zh-CN"/>
        </w:rPr>
        <w:t xml:space="preserve">                              </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w:t>
      </w:r>
      <w:r>
        <w:rPr>
          <w:rFonts w:hint="default" w:ascii="TimesNewRoman" w:hAnsi="TimesNewRoman" w:eastAsia="仿宋_GB2312" w:cs="TimesNewRoman"/>
          <w:kern w:val="0"/>
          <w:sz w:val="32"/>
          <w:szCs w:val="32"/>
          <w:lang w:val="en-US" w:eastAsia="zh-CN"/>
        </w:rPr>
        <w:t>99</w:t>
      </w:r>
      <w:r>
        <w:rPr>
          <w:rFonts w:hint="eastAsia" w:ascii="TimesNewRoman" w:hAnsi="TimesNewRoman" w:eastAsia="仿宋_GB2312" w:cs="TimesNewRoman"/>
          <w:kern w:val="0"/>
          <w:sz w:val="32"/>
          <w:szCs w:val="32"/>
          <w:lang w:val="en-US" w:eastAsia="zh-CN"/>
        </w:rPr>
        <w:t>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楷体" w:eastAsia="仿宋_GB2312" w:cs="Times New Roman"/>
          <w:sz w:val="32"/>
          <w:szCs w:val="32"/>
          <w:lang w:val="en-US" w:eastAsia="zh-CN"/>
        </w:rPr>
      </w:pP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both"/>
              <w:rPr>
                <w:rFonts w:ascii="宋体" w:cs="宋体"/>
                <w:sz w:val="20"/>
              </w:rPr>
            </w:pPr>
            <w:r>
              <w:rPr>
                <w:rFonts w:hint="eastAsia" w:ascii="宋体" w:hAnsi="宋体" w:cs="宋体"/>
                <w:kern w:val="0"/>
                <w:sz w:val="22"/>
                <w:szCs w:val="22"/>
              </w:rPr>
              <w:t>土地调查研究宣传推介费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bottom"/>
          </w:tcPr>
          <w:p>
            <w:pPr>
              <w:keepNext w:val="0"/>
              <w:keepLines w:val="0"/>
              <w:widowControl/>
              <w:suppressLineNumbers w:val="0"/>
              <w:jc w:val="left"/>
              <w:textAlignment w:val="bottom"/>
              <w:rPr>
                <w:rFonts w:hint="default" w:ascii="等线" w:hAnsi="等线" w:eastAsia="等线" w:cs="等线"/>
                <w:i w:val="0"/>
                <w:iCs w:val="0"/>
                <w:color w:val="000000"/>
                <w:kern w:val="2"/>
                <w:sz w:val="22"/>
                <w:szCs w:val="22"/>
                <w:u w:val="none"/>
                <w:lang w:val="en-US" w:eastAsia="zh-CN" w:bidi="ar-SA"/>
              </w:rPr>
            </w:pPr>
            <w:r>
              <w:rPr>
                <w:rFonts w:hint="default" w:ascii="宋体" w:hAnsi="宋体" w:cs="宋体"/>
                <w:kern w:val="0"/>
                <w:sz w:val="22"/>
                <w:szCs w:val="22"/>
                <w:lang w:val="en-US" w:eastAsia="zh-CN"/>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hAnsi="宋体" w:cs="宋体"/>
                <w:kern w:val="0"/>
                <w:sz w:val="22"/>
                <w:szCs w:val="22"/>
                <w:lang w:eastAsia="zh-CN"/>
              </w:rPr>
              <w:t>淮北</w:t>
            </w:r>
            <w:r>
              <w:rPr>
                <w:rFonts w:hint="eastAsia" w:ascii="宋体" w:hAnsi="宋体" w:cs="宋体"/>
                <w:kern w:val="0"/>
                <w:sz w:val="22"/>
                <w:szCs w:val="22"/>
              </w:rPr>
              <w:t>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default"/>
                <w:lang w:val="en-US"/>
              </w:rPr>
            </w:pPr>
            <w:r>
              <w:rPr>
                <w:rFonts w:hint="default"/>
                <w:lang w:val="en-US"/>
              </w:rPr>
              <w:t>2023.01-2023.12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sz w:val="20"/>
                <w:szCs w:val="20"/>
              </w:rPr>
            </w:pPr>
            <w:r>
              <w:rPr>
                <w:rFonts w:hint="eastAsia"/>
                <w:sz w:val="20"/>
                <w:szCs w:val="20"/>
              </w:rPr>
              <w:t>目标1：在土地收储、供应及农转用报批，报件、组件等工作中，要对地块的位置、面积、利用现状等进行地块前期摸底、地籍调查、研究，制定收储土地补偿方案，督促各区政府按照收储补偿方案对土地范围内附属物的拆迁安置进行补偿工作。</w:t>
            </w:r>
          </w:p>
          <w:p>
            <w:pPr>
              <w:jc w:val="left"/>
              <w:rPr>
                <w:rFonts w:ascii="宋体" w:cs="宋体"/>
                <w:sz w:val="20"/>
              </w:rPr>
            </w:pPr>
            <w:r>
              <w:rPr>
                <w:rFonts w:hint="eastAsia"/>
                <w:sz w:val="20"/>
                <w:szCs w:val="20"/>
              </w:rPr>
              <w:t xml:space="preserve"> 目标2：加大土地宣传推介，参加全国性的土地展，召开专题土地推介会，吸引意向投资商关注淮北、了解淮北、投资淮北。开展小分队上门走访，保证土地推介的精准度。</w:t>
            </w:r>
            <w:r>
              <w:rPr>
                <w:rFonts w:hint="eastAsia" w:ascii="宋体" w:hAnsi="宋体" w:cs="宋体"/>
                <w:kern w:val="0"/>
                <w:sz w:val="22"/>
                <w:szCs w:val="22"/>
              </w:rPr>
              <w:tab/>
            </w:r>
            <w:r>
              <w:rPr>
                <w:rFonts w:hint="eastAsia" w:ascii="宋体" w:hAnsi="宋体" w:cs="宋体"/>
                <w:kern w:val="0"/>
                <w:sz w:val="22"/>
                <w:szCs w:val="22"/>
              </w:rPr>
              <w:tab/>
            </w:r>
            <w:r>
              <w:rPr>
                <w:rFonts w:hint="eastAsia" w:ascii="宋体" w:hAnsi="宋体" w:cs="宋体"/>
                <w:kern w:val="0"/>
                <w:sz w:val="22"/>
                <w:szCs w:val="22"/>
              </w:rPr>
              <w:tab/>
            </w:r>
            <w:r>
              <w:rPr>
                <w:rFonts w:hint="eastAsia"/>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宋体" w:hAnsi="宋体" w:eastAsia="宋体" w:cs="宋体"/>
                <w:color w:val="000000"/>
                <w:kern w:val="0"/>
                <w:sz w:val="20"/>
                <w:szCs w:val="20"/>
              </w:rPr>
              <w:t>指标1：</w:t>
            </w:r>
            <w:r>
              <w:rPr>
                <w:rFonts w:hint="default"/>
                <w:sz w:val="20"/>
                <w:szCs w:val="20"/>
                <w:lang w:val="en-US" w:eastAsia="zh-CN"/>
              </w:rPr>
              <w:t>土地宣传推介走访</w:t>
            </w:r>
          </w:p>
        </w:tc>
        <w:tc>
          <w:tcPr>
            <w:tcW w:w="4228" w:type="dxa"/>
            <w:gridSpan w:val="2"/>
            <w:tcBorders>
              <w:tl2br w:val="nil"/>
              <w:tr2bl w:val="nil"/>
            </w:tcBorders>
            <w:noWrap w:val="0"/>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default"/>
                <w:sz w:val="20"/>
                <w:szCs w:val="20"/>
                <w:lang w:val="en-US" w:eastAsia="zh-CN"/>
              </w:rPr>
              <w:t>优化市场环境，稳定成交率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bottom"/>
          </w:tcPr>
          <w:p>
            <w:pPr>
              <w:keepNext w:val="0"/>
              <w:keepLines w:val="0"/>
              <w:widowControl/>
              <w:suppressLineNumbers w:val="0"/>
              <w:jc w:val="both"/>
              <w:textAlignment w:val="bottom"/>
              <w:rPr>
                <w:rFonts w:ascii="等线" w:hAnsi="等线" w:eastAsia="等线" w:cs="等线"/>
                <w:i w:val="0"/>
                <w:iCs w:val="0"/>
                <w:color w:val="000000"/>
                <w:kern w:val="2"/>
                <w:sz w:val="22"/>
                <w:szCs w:val="22"/>
                <w:u w:val="none"/>
                <w:lang w:val="en-US" w:eastAsia="zh-CN" w:bidi="ar-SA"/>
              </w:rPr>
            </w:pPr>
            <w:r>
              <w:rPr>
                <w:rFonts w:hint="eastAsia" w:ascii="宋体" w:hAnsi="宋体" w:eastAsia="宋体" w:cs="宋体"/>
                <w:color w:val="000000"/>
                <w:kern w:val="0"/>
                <w:sz w:val="20"/>
                <w:szCs w:val="20"/>
              </w:rPr>
              <w:t>指标</w:t>
            </w:r>
            <w:r>
              <w:rPr>
                <w:rFonts w:hint="eastAsia"/>
                <w:sz w:val="20"/>
                <w:szCs w:val="20"/>
                <w:lang w:val="en-US" w:eastAsia="zh-CN"/>
              </w:rPr>
              <w:t>1：</w:t>
            </w:r>
            <w:r>
              <w:rPr>
                <w:rFonts w:hint="default"/>
                <w:sz w:val="20"/>
                <w:szCs w:val="20"/>
                <w:lang w:val="en-US" w:eastAsia="zh-CN"/>
              </w:rPr>
              <w:t>完善有序土地市场</w:t>
            </w:r>
          </w:p>
        </w:tc>
        <w:tc>
          <w:tcPr>
            <w:tcW w:w="4228" w:type="dxa"/>
            <w:gridSpan w:val="2"/>
            <w:tcBorders>
              <w:tl2br w:val="nil"/>
              <w:tr2bl w:val="nil"/>
            </w:tcBorders>
            <w:noWrap w:val="0"/>
            <w:vAlign w:val="center"/>
          </w:tcPr>
          <w:p>
            <w:pPr>
              <w:tabs>
                <w:tab w:val="left" w:pos="703"/>
              </w:tabs>
              <w:jc w:val="left"/>
              <w:rPr>
                <w:rFonts w:ascii="宋体" w:cs="宋体"/>
                <w:sz w:val="20"/>
              </w:rPr>
            </w:pPr>
            <w:r>
              <w:rPr>
                <w:rFonts w:hint="eastAsia" w:ascii="宋体" w:cs="宋体"/>
                <w:sz w:val="20"/>
              </w:rPr>
              <w:t>提高土地运作效能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指标1：吸引有实力的开发商投资淮北，助力我市土地市场持续健康发展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开展外出招商，吸引实力雄厚、管理先进企业投资淮北，推动淮北土地市场发展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指标1：全年预算安排99万元</w:t>
            </w:r>
          </w:p>
        </w:tc>
        <w:tc>
          <w:tcPr>
            <w:tcW w:w="4228" w:type="dxa"/>
            <w:gridSpan w:val="2"/>
            <w:tcBorders>
              <w:tl2br w:val="nil"/>
              <w:tr2bl w:val="nil"/>
            </w:tcBorders>
            <w:noWrap w:val="0"/>
            <w:vAlign w:val="center"/>
          </w:tcPr>
          <w:p>
            <w:pPr>
              <w:tabs>
                <w:tab w:val="left" w:pos="403"/>
              </w:tabs>
              <w:jc w:val="left"/>
              <w:rPr>
                <w:rFonts w:ascii="宋体" w:cs="宋体"/>
                <w:sz w:val="20"/>
              </w:rPr>
            </w:pPr>
            <w:r>
              <w:rPr>
                <w:rFonts w:hint="eastAsia" w:ascii="宋体" w:cs="宋体"/>
                <w:sz w:val="20"/>
              </w:rPr>
              <w:t>全年预算安排99万元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指标1：通过宣传推介，引起了客商们对淮北的高度关注和浓厚兴趣</w:t>
            </w:r>
          </w:p>
        </w:tc>
        <w:tc>
          <w:tcPr>
            <w:tcW w:w="4228" w:type="dxa"/>
            <w:gridSpan w:val="2"/>
            <w:tcBorders>
              <w:tl2br w:val="nil"/>
              <w:tr2bl w:val="nil"/>
            </w:tcBorders>
            <w:noWrap w:val="0"/>
            <w:vAlign w:val="center"/>
          </w:tcPr>
          <w:p>
            <w:pPr>
              <w:tabs>
                <w:tab w:val="left" w:pos="369"/>
              </w:tabs>
              <w:jc w:val="left"/>
              <w:rPr>
                <w:rFonts w:ascii="宋体" w:cs="宋体"/>
                <w:sz w:val="20"/>
              </w:rPr>
            </w:pPr>
            <w:r>
              <w:rPr>
                <w:rFonts w:hint="eastAsia" w:ascii="宋体" w:cs="宋体"/>
                <w:sz w:val="20"/>
              </w:rPr>
              <w:t>加大了土地运营力度，推动淮北地方经济发展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指标1：促进地方经济发展</w:t>
            </w:r>
          </w:p>
        </w:tc>
        <w:tc>
          <w:tcPr>
            <w:tcW w:w="4228" w:type="dxa"/>
            <w:gridSpan w:val="2"/>
            <w:tcBorders>
              <w:tl2br w:val="nil"/>
              <w:tr2bl w:val="nil"/>
            </w:tcBorders>
            <w:noWrap w:val="0"/>
            <w:vAlign w:val="center"/>
          </w:tcPr>
          <w:p>
            <w:pPr>
              <w:tabs>
                <w:tab w:val="left" w:pos="269"/>
              </w:tabs>
              <w:jc w:val="left"/>
              <w:rPr>
                <w:rFonts w:ascii="宋体" w:cs="宋体"/>
                <w:sz w:val="20"/>
              </w:rPr>
            </w:pPr>
            <w:r>
              <w:rPr>
                <w:rFonts w:hint="eastAsia" w:ascii="宋体" w:cs="宋体"/>
                <w:sz w:val="20"/>
              </w:rPr>
              <w:t>通过土地外出推介，使外地市先进房企、企业入驻淮北，促进地方经济发展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指标1：促进淮北生态居住环境向好发展</w:t>
            </w:r>
          </w:p>
        </w:tc>
        <w:tc>
          <w:tcPr>
            <w:tcW w:w="4228" w:type="dxa"/>
            <w:gridSpan w:val="2"/>
            <w:tcBorders>
              <w:tl2br w:val="nil"/>
              <w:tr2bl w:val="nil"/>
            </w:tcBorders>
            <w:noWrap w:val="0"/>
            <w:vAlign w:val="center"/>
          </w:tcPr>
          <w:p>
            <w:pPr>
              <w:tabs>
                <w:tab w:val="left" w:pos="619"/>
              </w:tabs>
              <w:jc w:val="left"/>
              <w:rPr>
                <w:rFonts w:ascii="宋体" w:cs="宋体"/>
                <w:sz w:val="20"/>
              </w:rPr>
            </w:pPr>
            <w:r>
              <w:rPr>
                <w:rFonts w:hint="eastAsia" w:ascii="宋体" w:cs="宋体"/>
                <w:sz w:val="20"/>
              </w:rPr>
              <w:t>外来房企入驻淮北，带来了先进的居住理念，改变了淮北的居住</w:t>
            </w:r>
            <w:r>
              <w:rPr>
                <w:rFonts w:hint="eastAsia" w:ascii="宋体" w:cs="宋体"/>
                <w:sz w:val="20"/>
                <w:lang w:val="en-US" w:eastAsia="zh-CN"/>
              </w:rPr>
              <w:t>环</w:t>
            </w:r>
            <w:r>
              <w:rPr>
                <w:rFonts w:hint="eastAsia" w:ascii="宋体" w:cs="宋体"/>
                <w:sz w:val="20"/>
              </w:rPr>
              <w:t>境，使淮北住房更加绿色、环保、美观。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指标1：土地市场良性、可持续发展</w:t>
            </w:r>
          </w:p>
        </w:tc>
        <w:tc>
          <w:tcPr>
            <w:tcW w:w="4228" w:type="dxa"/>
            <w:gridSpan w:val="2"/>
            <w:tcBorders>
              <w:tl2br w:val="nil"/>
              <w:tr2bl w:val="nil"/>
            </w:tcBorders>
            <w:noWrap w:val="0"/>
            <w:vAlign w:val="center"/>
          </w:tcPr>
          <w:p>
            <w:pPr>
              <w:tabs>
                <w:tab w:val="left" w:pos="653"/>
              </w:tabs>
              <w:jc w:val="left"/>
              <w:rPr>
                <w:rFonts w:ascii="宋体" w:cs="宋体"/>
                <w:sz w:val="20"/>
              </w:rPr>
            </w:pPr>
            <w:r>
              <w:rPr>
                <w:rFonts w:hint="eastAsia" w:ascii="宋体" w:cs="宋体"/>
                <w:sz w:val="20"/>
              </w:rPr>
              <w:t>促进土地市场稳中有进，进中向好，良性循环发展。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tabs>
                <w:tab w:val="center" w:pos="1328"/>
              </w:tabs>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指标1：服务对象满意度</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636"/>
              </w:tabs>
              <w:jc w:val="left"/>
              <w:rPr>
                <w:rFonts w:ascii="宋体" w:cs="宋体"/>
                <w:sz w:val="20"/>
              </w:rPr>
            </w:pPr>
            <w:r>
              <w:rPr>
                <w:rFonts w:hint="eastAsia" w:ascii="宋体" w:cs="宋体"/>
                <w:sz w:val="20"/>
              </w:rPr>
              <w:t>满意</w:t>
            </w:r>
          </w:p>
        </w:tc>
      </w:tr>
    </w:tbl>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为非参照公务员法管理的事业单位，按照部门预算机关运行经费口径，2023年无机关运行经费财政拨款预算。</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2023年政府采购预算</w:t>
      </w:r>
      <w:r>
        <w:rPr>
          <w:rFonts w:hint="default" w:ascii="TimesNewRoman" w:hAnsi="TimesNewRoman" w:eastAsia="仿宋_GB2312" w:cs="TimesNewRoman"/>
          <w:kern w:val="0"/>
          <w:sz w:val="32"/>
          <w:szCs w:val="32"/>
          <w:lang w:val="en-US"/>
        </w:rPr>
        <w:t>150.90</w:t>
      </w:r>
      <w:r>
        <w:rPr>
          <w:rFonts w:hint="eastAsia" w:ascii="TimesNewRoman" w:hAnsi="TimesNewRoman" w:eastAsia="仿宋_GB2312" w:cs="TimesNewRoman"/>
          <w:kern w:val="0"/>
          <w:sz w:val="32"/>
          <w:szCs w:val="32"/>
        </w:rPr>
        <w:t>万元。其中：政府采购货物预算</w:t>
      </w:r>
      <w:r>
        <w:rPr>
          <w:rFonts w:hint="default" w:ascii="TimesNewRoman" w:hAnsi="TimesNewRoman" w:eastAsia="仿宋_GB2312" w:cs="TimesNewRoman"/>
          <w:kern w:val="0"/>
          <w:sz w:val="32"/>
          <w:szCs w:val="32"/>
          <w:lang w:val="en-US"/>
        </w:rPr>
        <w:t>0.90</w:t>
      </w:r>
      <w:r>
        <w:rPr>
          <w:rFonts w:hint="eastAsia" w:ascii="TimesNewRoman" w:hAnsi="TimesNewRoman" w:eastAsia="仿宋_GB2312" w:cs="TimesNewRoman"/>
          <w:kern w:val="0"/>
          <w:sz w:val="32"/>
          <w:szCs w:val="32"/>
        </w:rPr>
        <w:t>万元，政府采购工程预算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万元，政府采购服务预算</w:t>
      </w:r>
      <w:r>
        <w:rPr>
          <w:rFonts w:hint="default" w:ascii="TimesNewRoman" w:hAnsi="TimesNewRoman" w:eastAsia="仿宋_GB2312" w:cs="TimesNewRoman"/>
          <w:kern w:val="0"/>
          <w:sz w:val="32"/>
          <w:szCs w:val="32"/>
          <w:lang w:val="en-US"/>
        </w:rPr>
        <w:t>150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共有车辆</w:t>
      </w: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rPr>
        <w:t>辆，其中：其他用车</w:t>
      </w: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rPr>
        <w:t>辆</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台（套），单价100万元以上的专用设备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预算安排购置公务用车</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辆，购置费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w:t>
      </w:r>
      <w:r>
        <w:rPr>
          <w:rFonts w:hint="eastAsia" w:ascii="TimesNewRoman" w:hAnsi="TimesNewRoman" w:eastAsia="仿宋_GB2312" w:cs="TimesNewRoman"/>
          <w:color w:val="000000" w:themeColor="text1"/>
          <w:kern w:val="0"/>
          <w:sz w:val="32"/>
          <w:szCs w:val="32"/>
        </w:rPr>
        <w:t>购置费</w:t>
      </w:r>
      <w:r>
        <w:rPr>
          <w:rFonts w:hint="default" w:ascii="TimesNewRoman" w:hAnsi="TimesNewRoman" w:eastAsia="仿宋_GB2312" w:cs="TimesNewRoman"/>
          <w:color w:val="000000" w:themeColor="text1"/>
          <w:kern w:val="0"/>
          <w:sz w:val="32"/>
          <w:szCs w:val="32"/>
          <w:lang w:val="en-US"/>
        </w:rPr>
        <w:t>0</w:t>
      </w:r>
      <w:r>
        <w:rPr>
          <w:rFonts w:hint="eastAsia" w:ascii="TimesNewRoman" w:hAnsi="TimesNewRoman" w:eastAsia="仿宋_GB2312" w:cs="TimesNewRoman"/>
          <w:color w:val="000000" w:themeColor="text1"/>
          <w:kern w:val="0"/>
          <w:sz w:val="32"/>
          <w:szCs w:val="32"/>
        </w:rPr>
        <w:t>万元；安排购置单价</w:t>
      </w:r>
      <w:r>
        <w:rPr>
          <w:rFonts w:hint="eastAsia" w:ascii="TimesNewRoman" w:hAnsi="TimesNewRoman" w:eastAsia="仿宋_GB2312" w:cs="TimesNewRoman"/>
          <w:kern w:val="0"/>
          <w:sz w:val="32"/>
          <w:szCs w:val="32"/>
        </w:rPr>
        <w:t>100万元以上专用设备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仿宋_GB2312" w:cs="TimesNewRoman"/>
          <w:color w:val="000000" w:themeColor="text1"/>
          <w:kern w:val="0"/>
          <w:sz w:val="32"/>
          <w:szCs w:val="32"/>
        </w:rPr>
      </w:pPr>
      <w:r>
        <w:rPr>
          <w:rFonts w:hint="eastAsia" w:ascii="TimesNewRoman" w:hAnsi="TimesNewRoman" w:eastAsia="仿宋_GB2312" w:cs="TimesNewRoman"/>
          <w:color w:val="000000" w:themeColor="text1"/>
          <w:kern w:val="0"/>
          <w:sz w:val="32"/>
          <w:szCs w:val="32"/>
        </w:rPr>
        <w:t>2023年，淮北市</w:t>
      </w:r>
      <w:r>
        <w:rPr>
          <w:rFonts w:hint="eastAsia" w:ascii="TimesNewRoman" w:hAnsi="TimesNewRoman" w:eastAsia="仿宋_GB2312" w:cs="TimesNewRoman"/>
          <w:color w:val="000000" w:themeColor="text1"/>
          <w:kern w:val="0"/>
          <w:sz w:val="32"/>
          <w:szCs w:val="32"/>
          <w:lang w:eastAsia="zh-CN"/>
        </w:rPr>
        <w:t>土地储备发展中心</w:t>
      </w:r>
      <w:r>
        <w:rPr>
          <w:rFonts w:hint="default" w:ascii="TimesNewRoman" w:hAnsi="TimesNewRoman" w:eastAsia="仿宋_GB2312" w:cs="TimesNewRoman"/>
          <w:color w:val="000000" w:themeColor="text1"/>
          <w:kern w:val="0"/>
          <w:sz w:val="32"/>
          <w:szCs w:val="32"/>
          <w:lang w:val="en-US"/>
        </w:rPr>
        <w:t>3</w:t>
      </w:r>
      <w:r>
        <w:rPr>
          <w:rFonts w:hint="eastAsia" w:ascii="TimesNewRoman" w:hAnsi="TimesNewRoman" w:eastAsia="仿宋_GB2312" w:cs="TimesNewRoman"/>
          <w:color w:val="000000" w:themeColor="text1"/>
          <w:kern w:val="0"/>
          <w:sz w:val="32"/>
          <w:szCs w:val="32"/>
        </w:rPr>
        <w:t>个项目实行了绩效目标管理，涉及一般公共预算当年财政拨款</w:t>
      </w:r>
      <w:r>
        <w:rPr>
          <w:rFonts w:hint="default" w:ascii="TimesNewRoman" w:hAnsi="TimesNewRoman" w:eastAsia="仿宋_GB2312" w:cs="TimesNewRoman"/>
          <w:color w:val="000000" w:themeColor="text1"/>
          <w:kern w:val="0"/>
          <w:sz w:val="32"/>
          <w:szCs w:val="32"/>
          <w:lang w:val="en-US"/>
        </w:rPr>
        <w:t>0</w:t>
      </w:r>
      <w:r>
        <w:rPr>
          <w:rFonts w:hint="eastAsia" w:ascii="TimesNewRoman" w:hAnsi="TimesNewRoman" w:eastAsia="仿宋_GB2312" w:cs="TimesNewRoman"/>
          <w:color w:val="000000" w:themeColor="text1"/>
          <w:kern w:val="0"/>
          <w:sz w:val="32"/>
          <w:szCs w:val="32"/>
        </w:rPr>
        <w:t>万元、政府性基金预算当年财政拨款</w:t>
      </w:r>
      <w:r>
        <w:rPr>
          <w:rFonts w:hint="default" w:ascii="TimesNewRoman" w:hAnsi="TimesNewRoman" w:eastAsia="仿宋_GB2312" w:cs="TimesNewRoman"/>
          <w:color w:val="000000" w:themeColor="text1"/>
          <w:kern w:val="0"/>
          <w:sz w:val="32"/>
          <w:szCs w:val="32"/>
          <w:lang w:val="en-US"/>
        </w:rPr>
        <w:t>300.20</w:t>
      </w:r>
      <w:r>
        <w:rPr>
          <w:rFonts w:hint="eastAsia" w:ascii="TimesNewRoman" w:hAnsi="TimesNewRoman" w:eastAsia="仿宋_GB2312" w:cs="TimesNewRoman"/>
          <w:color w:val="000000" w:themeColor="text1"/>
          <w:kern w:val="0"/>
          <w:sz w:val="32"/>
          <w:szCs w:val="32"/>
        </w:rPr>
        <w:t>万元、财政专户管理资金当年安排</w:t>
      </w:r>
      <w:r>
        <w:rPr>
          <w:rFonts w:hint="default" w:ascii="TimesNewRoman" w:hAnsi="TimesNewRoman" w:eastAsia="仿宋_GB2312" w:cs="TimesNewRoman"/>
          <w:color w:val="000000" w:themeColor="text1"/>
          <w:kern w:val="0"/>
          <w:sz w:val="32"/>
          <w:szCs w:val="32"/>
          <w:lang w:val="en-US"/>
        </w:rPr>
        <w:t>0</w:t>
      </w:r>
      <w:r>
        <w:rPr>
          <w:rFonts w:hint="eastAsia" w:ascii="TimesNewRoman" w:hAnsi="TimesNewRoman" w:eastAsia="仿宋_GB2312" w:cs="TimesNewRoman"/>
          <w:color w:val="000000" w:themeColor="text1"/>
          <w:kern w:val="0"/>
          <w:sz w:val="32"/>
          <w:szCs w:val="32"/>
        </w:rPr>
        <w:t>万元。</w:t>
      </w:r>
    </w:p>
    <w:p>
      <w:pPr>
        <w:rPr>
          <w:color w:val="FF0000"/>
        </w:rPr>
      </w:pPr>
    </w:p>
    <w:p>
      <w:pPr>
        <w:pStyle w:val="5"/>
        <w:adjustRightInd w:val="0"/>
        <w:snapToGrid w:val="0"/>
        <w:spacing w:line="560" w:lineRule="exact"/>
        <w:jc w:val="center"/>
        <w:rPr>
          <w:rFonts w:hint="eastAsia" w:ascii="TimesNewRoman" w:hAnsi="TimesNewRoman" w:eastAsia="黑体" w:cs="TimesNewRoman"/>
          <w:bCs/>
          <w:color w:val="FF0000"/>
          <w:sz w:val="36"/>
          <w:szCs w:val="36"/>
        </w:rPr>
      </w:pPr>
    </w:p>
    <w:p>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57562B"/>
    <w:rsid w:val="006546AF"/>
    <w:rsid w:val="008F6D1A"/>
    <w:rsid w:val="00955DD1"/>
    <w:rsid w:val="009A3CA3"/>
    <w:rsid w:val="00AE3242"/>
    <w:rsid w:val="00E907C4"/>
    <w:rsid w:val="00EC7755"/>
    <w:rsid w:val="018D04F7"/>
    <w:rsid w:val="01A12086"/>
    <w:rsid w:val="02FD22E2"/>
    <w:rsid w:val="075865EE"/>
    <w:rsid w:val="07616F27"/>
    <w:rsid w:val="09AB24A8"/>
    <w:rsid w:val="0A5A1582"/>
    <w:rsid w:val="0AA45D15"/>
    <w:rsid w:val="0DBE629B"/>
    <w:rsid w:val="0F056386"/>
    <w:rsid w:val="10EA00B5"/>
    <w:rsid w:val="113F7E73"/>
    <w:rsid w:val="11805AAE"/>
    <w:rsid w:val="11B53DDD"/>
    <w:rsid w:val="13992C5B"/>
    <w:rsid w:val="1576448F"/>
    <w:rsid w:val="15870F90"/>
    <w:rsid w:val="168F7ED7"/>
    <w:rsid w:val="16DA0FB7"/>
    <w:rsid w:val="181B6F9E"/>
    <w:rsid w:val="18EC46AD"/>
    <w:rsid w:val="19404B6B"/>
    <w:rsid w:val="1AD06C58"/>
    <w:rsid w:val="1DDE6AB3"/>
    <w:rsid w:val="1E38353E"/>
    <w:rsid w:val="1E506761"/>
    <w:rsid w:val="1FC842E1"/>
    <w:rsid w:val="20CF6405"/>
    <w:rsid w:val="21004976"/>
    <w:rsid w:val="22A028BA"/>
    <w:rsid w:val="23350A28"/>
    <w:rsid w:val="269F6697"/>
    <w:rsid w:val="270360A1"/>
    <w:rsid w:val="29C46C61"/>
    <w:rsid w:val="2B413223"/>
    <w:rsid w:val="2C275BEF"/>
    <w:rsid w:val="2C507043"/>
    <w:rsid w:val="32422A12"/>
    <w:rsid w:val="339521AE"/>
    <w:rsid w:val="36971C98"/>
    <w:rsid w:val="38064C79"/>
    <w:rsid w:val="3AD92D8E"/>
    <w:rsid w:val="3FEE4250"/>
    <w:rsid w:val="429D33C3"/>
    <w:rsid w:val="4488704B"/>
    <w:rsid w:val="46523032"/>
    <w:rsid w:val="489E1DE9"/>
    <w:rsid w:val="48BE13AE"/>
    <w:rsid w:val="4B791C4B"/>
    <w:rsid w:val="4B7C3524"/>
    <w:rsid w:val="4C03186A"/>
    <w:rsid w:val="4F584086"/>
    <w:rsid w:val="508B4866"/>
    <w:rsid w:val="509C660B"/>
    <w:rsid w:val="523B2391"/>
    <w:rsid w:val="53C70E0E"/>
    <w:rsid w:val="540F56C9"/>
    <w:rsid w:val="576459BA"/>
    <w:rsid w:val="587227D6"/>
    <w:rsid w:val="58EF5BA2"/>
    <w:rsid w:val="5D276935"/>
    <w:rsid w:val="5DA777D7"/>
    <w:rsid w:val="5E0D0840"/>
    <w:rsid w:val="5E1110E0"/>
    <w:rsid w:val="5F55064C"/>
    <w:rsid w:val="603D422C"/>
    <w:rsid w:val="609B08FD"/>
    <w:rsid w:val="619A0E8C"/>
    <w:rsid w:val="625C064B"/>
    <w:rsid w:val="6340563D"/>
    <w:rsid w:val="668A2E25"/>
    <w:rsid w:val="67BB033C"/>
    <w:rsid w:val="69C22E50"/>
    <w:rsid w:val="69F625B8"/>
    <w:rsid w:val="6C7530C9"/>
    <w:rsid w:val="6D627A4F"/>
    <w:rsid w:val="6EAC5FD8"/>
    <w:rsid w:val="72902BCF"/>
    <w:rsid w:val="73523C29"/>
    <w:rsid w:val="78110470"/>
    <w:rsid w:val="7AED6AA1"/>
    <w:rsid w:val="7B234DA1"/>
    <w:rsid w:val="7D282653"/>
    <w:rsid w:val="7EF47101"/>
    <w:rsid w:val="7FA7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974</Words>
  <Characters>5552</Characters>
  <Lines>46</Lines>
  <Paragraphs>13</Paragraphs>
  <TotalTime>8</TotalTime>
  <ScaleCrop>false</ScaleCrop>
  <LinksUpToDate>false</LinksUpToDate>
  <CharactersWithSpaces>6513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碎梦</cp:lastModifiedBy>
  <dcterms:modified xsi:type="dcterms:W3CDTF">2025-02-10T08:09:31Z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FA50F8154CE549C3B7938082CEDD94C9</vt:lpwstr>
  </property>
</Properties>
</file>