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地价管理所</w:t>
      </w:r>
      <w:r>
        <w:rPr>
          <w:rFonts w:hint="eastAsia" w:ascii="TimesNewRoman" w:hAnsi="TimesNewRoman" w:eastAsia="华文中宋" w:cs="TimesNewRoman"/>
          <w:b/>
          <w:sz w:val="44"/>
          <w:szCs w:val="44"/>
        </w:rPr>
        <w:t>2024年</w:t>
      </w: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p/>
    <w:p/>
    <w:p/>
    <w:p/>
    <w:p/>
    <w:p/>
    <w:p/>
    <w:p/>
    <w:p/>
    <w:p/>
    <w:p/>
    <w:p/>
    <w:p/>
    <w:p/>
    <w:p/>
    <w:p/>
    <w:p/>
    <w:p/>
    <w:p/>
    <w:p/>
    <w:p/>
    <w:p>
      <w:pPr>
        <w:pStyle w:val="7"/>
        <w:adjustRightInd w:val="0"/>
        <w:snapToGrid w:val="0"/>
        <w:spacing w:line="560" w:lineRule="exact"/>
        <w:jc w:val="center"/>
        <w:rPr>
          <w:rFonts w:ascii="TimesNewRoman" w:hAnsi="TimesNewRoman" w:eastAsia="黑体" w:cs="TimesNewRoman"/>
          <w:bCs/>
          <w:sz w:val="44"/>
          <w:szCs w:val="44"/>
        </w:rPr>
      </w:pPr>
    </w:p>
    <w:p>
      <w:pPr>
        <w:pStyle w:val="7"/>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2024</w:t>
      </w:r>
      <w:r>
        <w:rPr>
          <w:rFonts w:hint="eastAsia" w:ascii="TimesNewRoman" w:hAnsi="TimesNewRoman" w:eastAsia="黑体" w:cs="TimesNewRoman"/>
          <w:bCs/>
          <w:color w:val="auto"/>
          <w:sz w:val="44"/>
          <w:szCs w:val="44"/>
        </w:rPr>
        <w:t>年</w:t>
      </w:r>
      <w:r>
        <w:rPr>
          <w:rFonts w:hint="eastAsia" w:ascii="TimesNewRoman" w:hAnsi="TimesNewRoman" w:eastAsia="黑体" w:cs="TimesNewRoman"/>
          <w:bCs/>
          <w:color w:val="auto"/>
          <w:sz w:val="44"/>
          <w:szCs w:val="44"/>
          <w:lang w:val="en-US" w:eastAsia="zh-CN"/>
        </w:rPr>
        <w:t>3</w:t>
      </w:r>
      <w:r>
        <w:rPr>
          <w:rFonts w:hint="eastAsia" w:ascii="TimesNewRoman" w:hAnsi="TimesNewRoman" w:eastAsia="黑体" w:cs="TimesNewRoman"/>
          <w:bCs/>
          <w:sz w:val="44"/>
          <w:szCs w:val="44"/>
        </w:rPr>
        <w:t>月</w:t>
      </w:r>
    </w:p>
    <w:p/>
    <w:p/>
    <w:p>
      <w:pPr>
        <w:pStyle w:val="7"/>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7"/>
        <w:adjustRightInd w:val="0"/>
        <w:snapToGrid w:val="0"/>
        <w:spacing w:line="400" w:lineRule="exact"/>
        <w:ind w:firstLine="800" w:firstLineChars="250"/>
        <w:rPr>
          <w:rFonts w:ascii="TimesNewRoman" w:hAnsi="TimesNewRoman" w:eastAsia="仿宋_GB2312" w:cs="TimesNewRoman"/>
          <w:bCs/>
          <w:color w:val="auto"/>
          <w:sz w:val="32"/>
          <w:szCs w:val="32"/>
        </w:rPr>
      </w:pPr>
      <w:r>
        <w:rPr>
          <w:rFonts w:hint="eastAsia" w:ascii="TimesNewRoman" w:hAnsi="TimesNewRoman" w:eastAsia="仿宋_GB2312" w:cs="TimesNewRoman"/>
          <w:bCs/>
          <w:color w:val="auto"/>
          <w:sz w:val="32"/>
          <w:szCs w:val="32"/>
        </w:rPr>
        <w:t>2、单位预算构成</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、2024年度主要工作任务</w:t>
      </w:r>
    </w:p>
    <w:p>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2024年单位预算表</w:t>
      </w:r>
    </w:p>
    <w:p>
      <w:pPr>
        <w:pStyle w:val="7"/>
        <w:adjustRightInd w:val="0"/>
        <w:snapToGrid w:val="0"/>
        <w:spacing w:line="400" w:lineRule="exact"/>
        <w:ind w:firstLine="800" w:firstLineChars="250"/>
        <w:rPr>
          <w:rFonts w:ascii="TimesNewRoman" w:hAnsi="TimesNewRoman" w:eastAsia="仿宋_GB2312" w:cs="TimesNewRoman"/>
          <w:bCs/>
          <w:color w:val="auto"/>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color w:val="auto"/>
          <w:sz w:val="32"/>
          <w:szCs w:val="32"/>
          <w:lang w:eastAsia="zh-CN"/>
        </w:rPr>
        <w:t>淮北市地价管理所</w:t>
      </w:r>
      <w:r>
        <w:rPr>
          <w:rFonts w:hint="eastAsia" w:ascii="TimesNewRoman" w:hAnsi="TimesNewRoman" w:eastAsia="仿宋_GB2312" w:cs="TimesNewRoman"/>
          <w:bCs/>
          <w:color w:val="auto"/>
          <w:sz w:val="32"/>
          <w:szCs w:val="32"/>
        </w:rPr>
        <w:t>2024年收支总表</w:t>
      </w:r>
    </w:p>
    <w:p>
      <w:pPr>
        <w:pStyle w:val="7"/>
        <w:adjustRightInd w:val="0"/>
        <w:snapToGrid w:val="0"/>
        <w:spacing w:line="400" w:lineRule="exact"/>
        <w:ind w:firstLine="800" w:firstLineChars="250"/>
        <w:rPr>
          <w:rFonts w:ascii="TimesNewRoman" w:hAnsi="TimesNewRoman" w:eastAsia="仿宋_GB2312" w:cs="TimesNewRoman"/>
          <w:bCs/>
          <w:color w:val="auto"/>
          <w:sz w:val="32"/>
          <w:szCs w:val="32"/>
        </w:rPr>
      </w:pPr>
      <w:r>
        <w:rPr>
          <w:rFonts w:hint="eastAsia" w:ascii="TimesNewRoman" w:hAnsi="TimesNewRoman" w:eastAsia="仿宋_GB2312" w:cs="TimesNewRoman"/>
          <w:bCs/>
          <w:color w:val="auto"/>
          <w:sz w:val="32"/>
          <w:szCs w:val="32"/>
        </w:rPr>
        <w:t>2、</w:t>
      </w:r>
      <w:r>
        <w:rPr>
          <w:rFonts w:hint="eastAsia" w:ascii="TimesNewRoman" w:hAnsi="TimesNewRoman" w:eastAsia="仿宋_GB2312" w:cs="TimesNewRoman"/>
          <w:bCs/>
          <w:color w:val="auto"/>
          <w:sz w:val="32"/>
          <w:szCs w:val="32"/>
          <w:lang w:eastAsia="zh-CN"/>
        </w:rPr>
        <w:t>淮北市地价管理所</w:t>
      </w:r>
      <w:r>
        <w:rPr>
          <w:rFonts w:hint="eastAsia" w:ascii="TimesNewRoman" w:hAnsi="TimesNewRoman" w:eastAsia="仿宋_GB2312" w:cs="TimesNewRoman"/>
          <w:bCs/>
          <w:color w:val="auto"/>
          <w:sz w:val="32"/>
          <w:szCs w:val="32"/>
        </w:rPr>
        <w:t>2024年收入总表</w:t>
      </w:r>
    </w:p>
    <w:p>
      <w:pPr>
        <w:pStyle w:val="7"/>
        <w:adjustRightInd w:val="0"/>
        <w:snapToGrid w:val="0"/>
        <w:spacing w:line="400" w:lineRule="exact"/>
        <w:ind w:firstLine="800" w:firstLineChars="250"/>
        <w:rPr>
          <w:rFonts w:ascii="TimesNewRoman" w:hAnsi="TimesNewRoman" w:eastAsia="仿宋_GB2312" w:cs="TimesNewRoman"/>
          <w:bCs/>
          <w:color w:val="auto"/>
          <w:sz w:val="32"/>
          <w:szCs w:val="32"/>
        </w:rPr>
      </w:pPr>
      <w:r>
        <w:rPr>
          <w:rFonts w:hint="eastAsia" w:ascii="TimesNewRoman" w:hAnsi="TimesNewRoman" w:eastAsia="仿宋_GB2312" w:cs="TimesNewRoman"/>
          <w:bCs/>
          <w:color w:val="auto"/>
          <w:sz w:val="32"/>
          <w:szCs w:val="32"/>
        </w:rPr>
        <w:t>3、</w:t>
      </w:r>
      <w:r>
        <w:rPr>
          <w:rFonts w:hint="eastAsia" w:ascii="TimesNewRoman" w:hAnsi="TimesNewRoman" w:eastAsia="仿宋_GB2312" w:cs="TimesNewRoman"/>
          <w:bCs/>
          <w:color w:val="auto"/>
          <w:sz w:val="32"/>
          <w:szCs w:val="32"/>
          <w:lang w:eastAsia="zh-CN"/>
        </w:rPr>
        <w:t>淮北市地价管理所</w:t>
      </w:r>
      <w:r>
        <w:rPr>
          <w:rFonts w:hint="eastAsia" w:ascii="TimesNewRoman" w:hAnsi="TimesNewRoman" w:eastAsia="仿宋_GB2312" w:cs="TimesNewRoman"/>
          <w:bCs/>
          <w:color w:val="auto"/>
          <w:sz w:val="32"/>
          <w:szCs w:val="32"/>
        </w:rPr>
        <w:t>2024年支出总表</w:t>
      </w:r>
    </w:p>
    <w:p>
      <w:pPr>
        <w:pStyle w:val="7"/>
        <w:adjustRightInd w:val="0"/>
        <w:snapToGrid w:val="0"/>
        <w:spacing w:line="400" w:lineRule="exact"/>
        <w:ind w:firstLine="800" w:firstLineChars="250"/>
        <w:rPr>
          <w:rFonts w:ascii="TimesNewRoman" w:hAnsi="TimesNewRoman" w:eastAsia="仿宋_GB2312" w:cs="TimesNewRoman"/>
          <w:bCs/>
          <w:color w:val="auto"/>
          <w:sz w:val="32"/>
          <w:szCs w:val="32"/>
        </w:rPr>
      </w:pPr>
      <w:r>
        <w:rPr>
          <w:rFonts w:hint="eastAsia" w:ascii="TimesNewRoman" w:hAnsi="TimesNewRoman" w:eastAsia="仿宋_GB2312" w:cs="TimesNewRoman"/>
          <w:bCs/>
          <w:color w:val="auto"/>
          <w:sz w:val="32"/>
          <w:szCs w:val="32"/>
        </w:rPr>
        <w:t>4、</w:t>
      </w:r>
      <w:r>
        <w:rPr>
          <w:rFonts w:hint="eastAsia" w:ascii="TimesNewRoman" w:hAnsi="TimesNewRoman" w:eastAsia="仿宋_GB2312" w:cs="TimesNewRoman"/>
          <w:bCs/>
          <w:color w:val="auto"/>
          <w:sz w:val="32"/>
          <w:szCs w:val="32"/>
          <w:lang w:eastAsia="zh-CN"/>
        </w:rPr>
        <w:t>淮北市地价管理所</w:t>
      </w:r>
      <w:r>
        <w:rPr>
          <w:rFonts w:hint="eastAsia" w:ascii="TimesNewRoman" w:hAnsi="TimesNewRoman" w:eastAsia="仿宋_GB2312" w:cs="TimesNewRoman"/>
          <w:bCs/>
          <w:color w:val="auto"/>
          <w:sz w:val="32"/>
          <w:szCs w:val="32"/>
        </w:rPr>
        <w:t>2024年财政拨款收支总表</w:t>
      </w:r>
    </w:p>
    <w:p>
      <w:pPr>
        <w:pStyle w:val="7"/>
        <w:adjustRightInd w:val="0"/>
        <w:snapToGrid w:val="0"/>
        <w:spacing w:line="400" w:lineRule="exact"/>
        <w:ind w:firstLine="800" w:firstLineChars="250"/>
        <w:rPr>
          <w:rFonts w:ascii="TimesNewRoman" w:hAnsi="TimesNewRoman" w:eastAsia="仿宋_GB2312" w:cs="TimesNewRoman"/>
          <w:bCs/>
          <w:color w:val="auto"/>
          <w:sz w:val="32"/>
          <w:szCs w:val="32"/>
        </w:rPr>
      </w:pPr>
      <w:r>
        <w:rPr>
          <w:rFonts w:hint="eastAsia" w:ascii="TimesNewRoman" w:hAnsi="TimesNewRoman" w:eastAsia="仿宋_GB2312" w:cs="TimesNewRoman"/>
          <w:bCs/>
          <w:color w:val="auto"/>
          <w:sz w:val="32"/>
          <w:szCs w:val="32"/>
        </w:rPr>
        <w:t>5、</w:t>
      </w:r>
      <w:r>
        <w:rPr>
          <w:rFonts w:hint="eastAsia" w:ascii="TimesNewRoman" w:hAnsi="TimesNewRoman" w:eastAsia="仿宋_GB2312" w:cs="TimesNewRoman"/>
          <w:bCs/>
          <w:color w:val="auto"/>
          <w:sz w:val="32"/>
          <w:szCs w:val="32"/>
          <w:lang w:eastAsia="zh-CN"/>
        </w:rPr>
        <w:t>淮北市地价管理所</w:t>
      </w:r>
      <w:r>
        <w:rPr>
          <w:rFonts w:hint="eastAsia" w:ascii="TimesNewRoman" w:hAnsi="TimesNewRoman" w:eastAsia="仿宋_GB2312" w:cs="TimesNewRoman"/>
          <w:bCs/>
          <w:color w:val="auto"/>
          <w:sz w:val="32"/>
          <w:szCs w:val="32"/>
        </w:rPr>
        <w:t>2024年一般公共预算支出表</w:t>
      </w:r>
    </w:p>
    <w:p>
      <w:pPr>
        <w:pStyle w:val="7"/>
        <w:adjustRightInd w:val="0"/>
        <w:snapToGrid w:val="0"/>
        <w:spacing w:line="400" w:lineRule="exact"/>
        <w:ind w:firstLine="800" w:firstLineChars="250"/>
        <w:rPr>
          <w:rFonts w:ascii="TimesNewRoman" w:hAnsi="TimesNewRoman" w:eastAsia="仿宋_GB2312" w:cs="TimesNewRoman"/>
          <w:bCs/>
          <w:color w:val="auto"/>
          <w:sz w:val="32"/>
          <w:szCs w:val="32"/>
        </w:rPr>
      </w:pPr>
      <w:r>
        <w:rPr>
          <w:rFonts w:hint="eastAsia" w:ascii="TimesNewRoman" w:hAnsi="TimesNewRoman" w:eastAsia="仿宋_GB2312" w:cs="TimesNewRoman"/>
          <w:bCs/>
          <w:color w:val="auto"/>
          <w:sz w:val="32"/>
          <w:szCs w:val="32"/>
        </w:rPr>
        <w:t>6、</w:t>
      </w:r>
      <w:r>
        <w:rPr>
          <w:rFonts w:hint="eastAsia" w:ascii="TimesNewRoman" w:hAnsi="TimesNewRoman" w:eastAsia="仿宋_GB2312" w:cs="TimesNewRoman"/>
          <w:bCs/>
          <w:color w:val="auto"/>
          <w:sz w:val="32"/>
          <w:szCs w:val="32"/>
          <w:lang w:eastAsia="zh-CN"/>
        </w:rPr>
        <w:t>淮北市地价管理所</w:t>
      </w:r>
      <w:r>
        <w:rPr>
          <w:rFonts w:hint="eastAsia" w:ascii="TimesNewRoman" w:hAnsi="TimesNewRoman" w:eastAsia="仿宋_GB2312" w:cs="TimesNewRoman"/>
          <w:bCs/>
          <w:color w:val="auto"/>
          <w:sz w:val="32"/>
          <w:szCs w:val="32"/>
        </w:rPr>
        <w:t>2024年一般公共预算基本支出表</w:t>
      </w:r>
    </w:p>
    <w:p>
      <w:pPr>
        <w:pStyle w:val="7"/>
        <w:adjustRightInd w:val="0"/>
        <w:snapToGrid w:val="0"/>
        <w:spacing w:line="400" w:lineRule="exact"/>
        <w:ind w:firstLine="800" w:firstLineChars="250"/>
        <w:rPr>
          <w:rFonts w:ascii="TimesNewRoman" w:hAnsi="TimesNewRoman" w:eastAsia="仿宋_GB2312" w:cs="TimesNewRoman"/>
          <w:bCs/>
          <w:color w:val="auto"/>
          <w:sz w:val="32"/>
          <w:szCs w:val="32"/>
        </w:rPr>
      </w:pPr>
      <w:r>
        <w:rPr>
          <w:rFonts w:hint="eastAsia" w:ascii="TimesNewRoman" w:hAnsi="TimesNewRoman" w:eastAsia="仿宋_GB2312" w:cs="TimesNewRoman"/>
          <w:bCs/>
          <w:color w:val="auto"/>
          <w:sz w:val="32"/>
          <w:szCs w:val="32"/>
        </w:rPr>
        <w:t>7、</w:t>
      </w:r>
      <w:r>
        <w:rPr>
          <w:rFonts w:hint="eastAsia" w:ascii="TimesNewRoman" w:hAnsi="TimesNewRoman" w:eastAsia="仿宋_GB2312" w:cs="TimesNewRoman"/>
          <w:bCs/>
          <w:color w:val="auto"/>
          <w:sz w:val="32"/>
          <w:szCs w:val="32"/>
          <w:lang w:eastAsia="zh-CN"/>
        </w:rPr>
        <w:t>淮北市地价管理所</w:t>
      </w:r>
      <w:r>
        <w:rPr>
          <w:rFonts w:hint="eastAsia" w:ascii="TimesNewRoman" w:hAnsi="TimesNewRoman" w:eastAsia="仿宋_GB2312" w:cs="TimesNewRoman"/>
          <w:bCs/>
          <w:color w:val="auto"/>
          <w:sz w:val="32"/>
          <w:szCs w:val="32"/>
        </w:rPr>
        <w:t>2024年政府性基金预算支出表</w:t>
      </w:r>
    </w:p>
    <w:p>
      <w:pPr>
        <w:pStyle w:val="7"/>
        <w:adjustRightInd w:val="0"/>
        <w:snapToGrid w:val="0"/>
        <w:spacing w:line="400" w:lineRule="exact"/>
        <w:ind w:firstLine="800" w:firstLineChars="250"/>
        <w:rPr>
          <w:rFonts w:ascii="TimesNewRoman" w:hAnsi="TimesNewRoman" w:eastAsia="仿宋_GB2312" w:cs="TimesNewRoman"/>
          <w:bCs/>
          <w:color w:val="auto"/>
          <w:sz w:val="32"/>
          <w:szCs w:val="32"/>
        </w:rPr>
      </w:pPr>
      <w:r>
        <w:rPr>
          <w:rFonts w:hint="eastAsia" w:ascii="TimesNewRoman" w:hAnsi="TimesNewRoman" w:eastAsia="仿宋_GB2312" w:cs="TimesNewRoman"/>
          <w:bCs/>
          <w:color w:val="auto"/>
          <w:sz w:val="32"/>
          <w:szCs w:val="32"/>
        </w:rPr>
        <w:t>8、</w:t>
      </w:r>
      <w:r>
        <w:rPr>
          <w:rFonts w:hint="eastAsia" w:ascii="TimesNewRoman" w:hAnsi="TimesNewRoman" w:eastAsia="仿宋_GB2312" w:cs="TimesNewRoman"/>
          <w:bCs/>
          <w:color w:val="auto"/>
          <w:sz w:val="32"/>
          <w:szCs w:val="32"/>
          <w:lang w:eastAsia="zh-CN"/>
        </w:rPr>
        <w:t>淮北市地价管理所</w:t>
      </w:r>
      <w:r>
        <w:rPr>
          <w:rFonts w:hint="eastAsia" w:ascii="TimesNewRoman" w:hAnsi="TimesNewRoman" w:eastAsia="仿宋_GB2312" w:cs="TimesNewRoman"/>
          <w:bCs/>
          <w:color w:val="auto"/>
          <w:sz w:val="32"/>
          <w:szCs w:val="32"/>
        </w:rPr>
        <w:t>2024年国有资本经营预算支出表</w:t>
      </w:r>
    </w:p>
    <w:p>
      <w:pPr>
        <w:pStyle w:val="7"/>
        <w:adjustRightInd w:val="0"/>
        <w:snapToGrid w:val="0"/>
        <w:spacing w:line="400" w:lineRule="exact"/>
        <w:ind w:firstLine="800" w:firstLineChars="250"/>
        <w:rPr>
          <w:rFonts w:ascii="TimesNewRoman" w:hAnsi="TimesNewRoman" w:eastAsia="仿宋_GB2312" w:cs="TimesNewRoman"/>
          <w:bCs/>
          <w:color w:val="auto"/>
          <w:sz w:val="32"/>
          <w:szCs w:val="32"/>
        </w:rPr>
      </w:pPr>
      <w:r>
        <w:rPr>
          <w:rFonts w:hint="eastAsia" w:ascii="TimesNewRoman" w:hAnsi="TimesNewRoman" w:eastAsia="仿宋_GB2312" w:cs="TimesNewRoman"/>
          <w:bCs/>
          <w:color w:val="auto"/>
          <w:sz w:val="32"/>
          <w:szCs w:val="32"/>
        </w:rPr>
        <w:t>9、</w:t>
      </w:r>
      <w:r>
        <w:rPr>
          <w:rFonts w:hint="eastAsia" w:ascii="TimesNewRoman" w:hAnsi="TimesNewRoman" w:eastAsia="仿宋_GB2312" w:cs="TimesNewRoman"/>
          <w:bCs/>
          <w:color w:val="auto"/>
          <w:sz w:val="32"/>
          <w:szCs w:val="32"/>
          <w:lang w:eastAsia="zh-CN"/>
        </w:rPr>
        <w:t>淮北市地价管理所</w:t>
      </w:r>
      <w:r>
        <w:rPr>
          <w:rFonts w:hint="eastAsia" w:ascii="TimesNewRoman" w:hAnsi="TimesNewRoman" w:eastAsia="仿宋_GB2312" w:cs="TimesNewRoman"/>
          <w:bCs/>
          <w:color w:val="auto"/>
          <w:sz w:val="32"/>
          <w:szCs w:val="32"/>
        </w:rPr>
        <w:t>2024年项目支出表</w:t>
      </w:r>
    </w:p>
    <w:p>
      <w:pPr>
        <w:pStyle w:val="7"/>
        <w:adjustRightInd w:val="0"/>
        <w:snapToGrid w:val="0"/>
        <w:spacing w:line="400" w:lineRule="exact"/>
        <w:ind w:firstLine="800" w:firstLineChars="250"/>
        <w:rPr>
          <w:rFonts w:ascii="TimesNewRoman" w:hAnsi="TimesNewRoman" w:eastAsia="仿宋_GB2312" w:cs="TimesNewRoman"/>
          <w:bCs/>
          <w:color w:val="auto"/>
          <w:sz w:val="32"/>
          <w:szCs w:val="32"/>
        </w:rPr>
      </w:pPr>
      <w:r>
        <w:rPr>
          <w:rFonts w:hint="eastAsia" w:ascii="TimesNewRoman" w:hAnsi="TimesNewRoman" w:eastAsia="仿宋_GB2312" w:cs="TimesNewRoman"/>
          <w:bCs/>
          <w:color w:val="auto"/>
          <w:sz w:val="32"/>
          <w:szCs w:val="32"/>
        </w:rPr>
        <w:t>10、</w:t>
      </w:r>
      <w:r>
        <w:rPr>
          <w:rFonts w:hint="eastAsia" w:ascii="TimesNewRoman" w:hAnsi="TimesNewRoman" w:eastAsia="仿宋_GB2312" w:cs="TimesNewRoman"/>
          <w:bCs/>
          <w:color w:val="auto"/>
          <w:sz w:val="32"/>
          <w:szCs w:val="32"/>
          <w:lang w:eastAsia="zh-CN"/>
        </w:rPr>
        <w:t>淮北市地价管理所</w:t>
      </w:r>
      <w:r>
        <w:rPr>
          <w:rFonts w:hint="eastAsia" w:ascii="TimesNewRoman" w:hAnsi="TimesNewRoman" w:eastAsia="仿宋_GB2312" w:cs="TimesNewRoman"/>
          <w:bCs/>
          <w:color w:val="auto"/>
          <w:sz w:val="32"/>
          <w:szCs w:val="32"/>
        </w:rPr>
        <w:t>2024年政府采购支出表</w:t>
      </w:r>
    </w:p>
    <w:p>
      <w:pPr>
        <w:pStyle w:val="7"/>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color w:val="auto"/>
          <w:sz w:val="32"/>
          <w:szCs w:val="32"/>
        </w:rPr>
        <w:t>11、</w:t>
      </w:r>
      <w:r>
        <w:rPr>
          <w:rFonts w:hint="eastAsia" w:ascii="TimesNewRoman" w:hAnsi="TimesNewRoman" w:eastAsia="仿宋_GB2312" w:cs="TimesNewRoman"/>
          <w:bCs/>
          <w:color w:val="auto"/>
          <w:sz w:val="32"/>
          <w:szCs w:val="32"/>
          <w:lang w:eastAsia="zh-CN"/>
        </w:rPr>
        <w:t>淮北市地价管理所</w:t>
      </w:r>
      <w:r>
        <w:rPr>
          <w:rFonts w:hint="eastAsia" w:ascii="TimesNewRoman" w:hAnsi="TimesNewRoman" w:eastAsia="仿宋_GB2312" w:cs="TimesNewRoman"/>
          <w:bCs/>
          <w:sz w:val="32"/>
          <w:szCs w:val="32"/>
        </w:rPr>
        <w:t>2024年政府购买服务支出表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w:t>
      </w:r>
      <w:r>
        <w:rPr>
          <w:rFonts w:hint="eastAsia" w:ascii="TimesNewRoman" w:hAnsi="TimesNewRoman" w:eastAsia="仿宋_GB2312" w:cs="TimesNewRoman"/>
          <w:bCs/>
          <w:color w:val="auto"/>
          <w:sz w:val="32"/>
          <w:szCs w:val="32"/>
          <w:lang w:eastAsia="zh-CN"/>
        </w:rPr>
        <w:t>淮北市地价管理所</w:t>
      </w:r>
      <w:r>
        <w:rPr>
          <w:rFonts w:ascii="TimesNewRoman" w:hAnsi="TimesNewRoman" w:eastAsia="仿宋_GB2312" w:cs="TimesNewRoman"/>
          <w:bCs/>
          <w:color w:val="auto"/>
          <w:sz w:val="32"/>
          <w:szCs w:val="32"/>
        </w:rPr>
        <w:t>2</w:t>
      </w:r>
      <w:r>
        <w:rPr>
          <w:rFonts w:ascii="TimesNewRoman" w:hAnsi="TimesNewRoman" w:eastAsia="仿宋_GB2312" w:cs="TimesNewRoman"/>
          <w:bCs/>
          <w:sz w:val="32"/>
          <w:szCs w:val="32"/>
        </w:rPr>
        <w:t>024年通用资产配置支出表</w:t>
      </w:r>
    </w:p>
    <w:p>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2024年单位预算情况说明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1、关于2024年收支总表的说明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2、关于2024年收入总表的说明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3、关于2024年支出总表的说明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4、关于2024年财政拨款收支总表的说明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5、关于2024年一般公共预算支出表的说明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6、关于2024年一般公共预算基本支出表的说明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7、关于2024年政府性基金预算支出表的说明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8、关于2024年国有资本经营预算支出表的说明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9、关于2024年项目支出表的说明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10、关于2024年政府采购支出表的说明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11、关于2024年政府购买服务支出表的说明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1、淮北市淮北市</w:t>
      </w:r>
      <w:r>
        <w:rPr>
          <w:rFonts w:hint="eastAsia" w:ascii="TimesNewRoman" w:hAnsi="TimesNewRoman" w:eastAsia="仿宋_GB2312" w:cs="TimesNewRoman"/>
          <w:bCs/>
          <w:sz w:val="32"/>
          <w:szCs w:val="32"/>
          <w:lang w:eastAsia="zh-CN"/>
        </w:rPr>
        <w:t>地价管理所</w:t>
      </w:r>
      <w:r>
        <w:rPr>
          <w:rFonts w:hint="eastAsia" w:ascii="TimesNewRoman" w:hAnsi="TimesNewRoman" w:eastAsia="仿宋_GB2312" w:cs="TimesNewRoman"/>
          <w:bCs/>
          <w:sz w:val="32"/>
          <w:szCs w:val="32"/>
        </w:rPr>
        <w:t>2024年</w:t>
      </w:r>
      <w:r>
        <w:rPr>
          <w:rFonts w:hint="eastAsia" w:ascii="TimesNewRoman" w:hAnsi="TimesNewRoman" w:eastAsia="仿宋_GB2312" w:cs="TimesNewRoman"/>
          <w:bCs/>
          <w:sz w:val="32"/>
          <w:szCs w:val="32"/>
          <w:lang w:eastAsia="zh-CN"/>
        </w:rPr>
        <w:t>部门</w:t>
      </w:r>
      <w:r>
        <w:rPr>
          <w:rFonts w:hint="eastAsia" w:ascii="TimesNewRoman" w:hAnsi="TimesNewRoman" w:eastAsia="仿宋_GB2312" w:cs="TimesNewRoman"/>
          <w:bCs/>
          <w:sz w:val="32"/>
          <w:szCs w:val="32"/>
        </w:rPr>
        <w:t>预算纳入绩效考评项目表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2、淮北市淮北市</w:t>
      </w:r>
      <w:r>
        <w:rPr>
          <w:rFonts w:hint="eastAsia" w:ascii="TimesNewRoman" w:hAnsi="TimesNewRoman" w:eastAsia="仿宋_GB2312" w:cs="TimesNewRoman"/>
          <w:bCs/>
          <w:sz w:val="32"/>
          <w:szCs w:val="32"/>
          <w:lang w:eastAsia="zh-CN"/>
        </w:rPr>
        <w:t>地价管理所</w:t>
      </w:r>
      <w:r>
        <w:rPr>
          <w:rFonts w:hint="eastAsia" w:ascii="TimesNewRoman" w:hAnsi="TimesNewRoman" w:eastAsia="仿宋_GB2312" w:cs="TimesNewRoman"/>
          <w:bCs/>
          <w:sz w:val="32"/>
          <w:szCs w:val="32"/>
        </w:rPr>
        <w:t>2024年</w:t>
      </w:r>
      <w:r>
        <w:rPr>
          <w:rFonts w:hint="eastAsia" w:ascii="TimesNewRoman" w:hAnsi="TimesNewRoman" w:eastAsia="仿宋_GB2312" w:cs="TimesNewRoman"/>
          <w:sz w:val="32"/>
          <w:szCs w:val="32"/>
          <w:lang w:eastAsia="zh-CN"/>
        </w:rPr>
        <w:t>部门</w:t>
      </w:r>
      <w:r>
        <w:rPr>
          <w:rFonts w:hint="eastAsia" w:ascii="TimesNewRoman" w:hAnsi="TimesNewRoman" w:eastAsia="仿宋_GB2312" w:cs="TimesNewRoman"/>
          <w:bCs/>
          <w:sz w:val="32"/>
          <w:szCs w:val="32"/>
        </w:rPr>
        <w:t>预算专项资金管理清单（专栏公开）</w:t>
      </w:r>
    </w:p>
    <w:p>
      <w:pPr>
        <w:pStyle w:val="7"/>
        <w:adjustRightInd w:val="0"/>
        <w:snapToGrid w:val="0"/>
        <w:spacing w:line="400" w:lineRule="exact"/>
        <w:ind w:firstLine="800" w:firstLineChars="250"/>
        <w:rPr>
          <w:rFonts w:ascii="TimesNewRoman" w:hAnsi="TimesNewRoman" w:eastAsia="仿宋_GB2312" w:cs="TimesNewRoman"/>
          <w:bCs/>
          <w:sz w:val="32"/>
          <w:szCs w:val="32"/>
        </w:rPr>
      </w:pPr>
    </w:p>
    <w:p>
      <w:pPr>
        <w:pStyle w:val="7"/>
        <w:adjustRightInd w:val="0"/>
        <w:snapToGrid w:val="0"/>
        <w:spacing w:line="560" w:lineRule="exact"/>
        <w:ind w:firstLine="3240" w:firstLineChars="900"/>
        <w:jc w:val="both"/>
        <w:rPr>
          <w:rFonts w:hint="eastAsia" w:ascii="TimesNewRoman" w:hAnsi="TimesNewRoman" w:eastAsia="黑体" w:cs="TimesNewRoman"/>
          <w:bCs/>
          <w:sz w:val="36"/>
          <w:szCs w:val="36"/>
        </w:rPr>
      </w:pPr>
    </w:p>
    <w:p>
      <w:pPr>
        <w:pStyle w:val="7"/>
        <w:adjustRightInd w:val="0"/>
        <w:snapToGrid w:val="0"/>
        <w:spacing w:line="560" w:lineRule="exact"/>
        <w:ind w:firstLine="3240" w:firstLineChars="900"/>
        <w:jc w:val="both"/>
        <w:rPr>
          <w:rFonts w:hint="eastAsia" w:ascii="TimesNewRoman" w:hAnsi="TimesNewRoman" w:eastAsia="黑体" w:cs="TimesNewRoman"/>
          <w:bCs/>
          <w:sz w:val="36"/>
          <w:szCs w:val="36"/>
        </w:rPr>
      </w:pPr>
    </w:p>
    <w:p>
      <w:pPr>
        <w:pStyle w:val="7"/>
        <w:adjustRightInd w:val="0"/>
        <w:snapToGrid w:val="0"/>
        <w:spacing w:line="560" w:lineRule="exact"/>
        <w:ind w:firstLine="3240" w:firstLineChars="900"/>
        <w:jc w:val="both"/>
        <w:rPr>
          <w:rFonts w:hint="eastAsia" w:ascii="TimesNewRoman" w:hAnsi="TimesNewRoman" w:eastAsia="黑体" w:cs="TimesNewRoman"/>
          <w:bCs/>
          <w:sz w:val="36"/>
          <w:szCs w:val="36"/>
        </w:rPr>
      </w:pPr>
    </w:p>
    <w:p>
      <w:pPr>
        <w:pStyle w:val="7"/>
        <w:adjustRightInd w:val="0"/>
        <w:snapToGrid w:val="0"/>
        <w:spacing w:line="560" w:lineRule="exact"/>
        <w:ind w:firstLine="3240" w:firstLineChars="900"/>
        <w:jc w:val="both"/>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pStyle w:val="7"/>
        <w:adjustRightInd w:val="0"/>
        <w:snapToGrid w:val="0"/>
        <w:spacing w:before="0" w:beforeAutospacing="0" w:after="0" w:afterAutospacing="0" w:line="580" w:lineRule="exact"/>
        <w:ind w:firstLine="707" w:firstLineChars="221"/>
        <w:jc w:val="both"/>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（一）</w:t>
      </w:r>
      <w:r>
        <w:rPr>
          <w:rFonts w:hint="eastAsia" w:ascii="仿宋_GB2312" w:hAnsi="仿宋" w:eastAsia="仿宋_GB2312" w:cs="仿宋"/>
          <w:bCs/>
          <w:sz w:val="32"/>
          <w:szCs w:val="32"/>
        </w:rPr>
        <w:t>专职承担政府职能性、公益性地价评估；承担淮北市城市地</w:t>
      </w:r>
      <w:r>
        <w:rPr>
          <w:rFonts w:hint="eastAsia" w:ascii="仿宋_GB2312" w:hAnsi="仿宋" w:eastAsia="仿宋_GB2312"/>
          <w:sz w:val="32"/>
          <w:szCs w:val="32"/>
        </w:rPr>
        <w:t>价动态监测任务；承担淮北市基准地价、标定地价制定及更新任务；配合行政科室做好土地价格市场监管工作等</w:t>
      </w:r>
      <w:r>
        <w:rPr>
          <w:rFonts w:hint="eastAsia" w:ascii="TimesNewRoman" w:hAnsi="TimesNewRoman" w:eastAsia="仿宋_GB2312" w:cs="TimesNewRoman"/>
          <w:bCs/>
          <w:sz w:val="32"/>
          <w:szCs w:val="32"/>
        </w:rPr>
        <w:t>。</w:t>
      </w:r>
    </w:p>
    <w:p>
      <w:pPr>
        <w:pStyle w:val="7"/>
        <w:adjustRightInd w:val="0"/>
        <w:snapToGrid w:val="0"/>
        <w:spacing w:line="560" w:lineRule="exact"/>
        <w:ind w:firstLine="627" w:firstLineChars="196"/>
        <w:rPr>
          <w:rFonts w:ascii="TimesNewRoman" w:hAnsi="TimesNewRoman" w:eastAsia="黑体" w:cs="TimesNewRoman"/>
          <w:bCs/>
          <w:color w:val="auto"/>
          <w:sz w:val="32"/>
          <w:szCs w:val="32"/>
        </w:rPr>
      </w:pPr>
      <w:r>
        <w:rPr>
          <w:rFonts w:hint="eastAsia" w:ascii="TimesNewRoman" w:hAnsi="TimesNewRoman" w:eastAsia="黑体" w:cs="TimesNewRoman"/>
          <w:bCs/>
          <w:color w:val="auto"/>
          <w:sz w:val="32"/>
          <w:szCs w:val="32"/>
        </w:rPr>
        <w:t>二、单位预算构成</w:t>
      </w:r>
    </w:p>
    <w:p>
      <w:pPr>
        <w:pStyle w:val="7"/>
        <w:adjustRightInd w:val="0"/>
        <w:snapToGrid w:val="0"/>
        <w:spacing w:line="560" w:lineRule="exact"/>
        <w:ind w:firstLine="947" w:firstLineChars="296"/>
        <w:rPr>
          <w:rFonts w:ascii="TimesNewRoman" w:hAnsi="TimesNewRoman" w:eastAsia="仿宋_GB2312" w:cs="TimesNewRoman"/>
          <w:color w:val="auto"/>
          <w:sz w:val="32"/>
          <w:szCs w:val="32"/>
        </w:rPr>
      </w:pPr>
      <w:r>
        <w:rPr>
          <w:rFonts w:hint="eastAsia" w:ascii="TimesNewRoman" w:hAnsi="TimesNewRoman" w:eastAsia="仿宋_GB2312" w:cs="TimesNewRoman"/>
          <w:color w:val="auto"/>
          <w:sz w:val="32"/>
          <w:szCs w:val="32"/>
        </w:rPr>
        <w:t>从预算单位构成看，</w:t>
      </w:r>
      <w:r>
        <w:rPr>
          <w:rFonts w:hint="eastAsia" w:ascii="TimesNewRoman" w:hAnsi="TimesNewRoman" w:eastAsia="仿宋_GB2312" w:cs="TimesNewRoman"/>
          <w:bCs/>
          <w:color w:val="auto"/>
          <w:sz w:val="32"/>
          <w:szCs w:val="32"/>
        </w:rPr>
        <w:t>淮北市</w:t>
      </w:r>
      <w:r>
        <w:rPr>
          <w:rFonts w:hint="eastAsia" w:ascii="TimesNewRoman" w:hAnsi="TimesNewRoman" w:eastAsia="仿宋_GB2312" w:cs="TimesNewRoman"/>
          <w:bCs/>
          <w:color w:val="auto"/>
          <w:sz w:val="32"/>
          <w:szCs w:val="32"/>
          <w:lang w:eastAsia="zh-CN"/>
        </w:rPr>
        <w:t>地价管理所</w:t>
      </w:r>
      <w:r>
        <w:rPr>
          <w:rFonts w:hint="eastAsia" w:ascii="TimesNewRoman" w:hAnsi="TimesNewRoman" w:eastAsia="仿宋_GB2312" w:cs="TimesNewRoman"/>
          <w:color w:val="auto"/>
          <w:sz w:val="32"/>
          <w:szCs w:val="32"/>
        </w:rPr>
        <w:t>仅包括本级预算，无其他下属单位预算。</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三、2024年度主要工作任务</w:t>
      </w:r>
    </w:p>
    <w:p>
      <w:pPr>
        <w:spacing w:line="580" w:lineRule="exact"/>
        <w:ind w:right="-128" w:rightChars="-61" w:firstLine="643" w:firstLineChars="200"/>
        <w:textAlignment w:val="baseline"/>
        <w:rPr>
          <w:rFonts w:ascii="楷体_GB2312" w:eastAsia="楷体_GB2312"/>
          <w:b/>
          <w:bCs/>
          <w:color w:val="000000"/>
          <w:sz w:val="32"/>
          <w:szCs w:val="32"/>
        </w:rPr>
      </w:pPr>
      <w:r>
        <w:rPr>
          <w:rFonts w:hint="eastAsia" w:ascii="楷体_GB2312" w:eastAsia="楷体_GB2312"/>
          <w:b/>
          <w:bCs/>
          <w:color w:val="000000"/>
          <w:sz w:val="32"/>
          <w:szCs w:val="32"/>
        </w:rPr>
        <w:t>（一）切实做好2024年度城市地价动态监测工作。</w:t>
      </w:r>
    </w:p>
    <w:p>
      <w:pPr>
        <w:spacing w:line="580" w:lineRule="exact"/>
        <w:ind w:right="-128" w:rightChars="-61"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省厅《关于做好自然资源评价评估工作的通知》（皖自然资用〔2022〕1号）和《关于调整完善城市地价动态监测工作有关事项的通知》（皖自然资用函〔2023〕159号）部署。全面启动完善城市地价动态监测工作。</w:t>
      </w: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kern w:val="0"/>
          <w:sz w:val="32"/>
          <w:szCs w:val="32"/>
        </w:rPr>
        <w:t>调整完善监测基础数据。结合新一轮国土空间规划，适应城市发展需要，适当增减监测范围。按照均质均价的要求调整完善地价区段，按照代表性、确定性、稳定性、标识性原则，增减监测点。</w:t>
      </w: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kern w:val="0"/>
          <w:sz w:val="32"/>
          <w:szCs w:val="32"/>
        </w:rPr>
        <w:t>完善监测点及区段测算方法。强化市场交易情况在地价监测中的反映，优化区段地价测算方法，原则上每季度前 2个月并上季度最后 1个月实际发生的全部交易样点都必须通过修正直接参与当季度区段地价计算。</w:t>
      </w:r>
      <w:r>
        <w:rPr>
          <w:rFonts w:hint="eastAsia" w:ascii="仿宋_GB2312" w:hAnsi="仿宋_GB2312" w:eastAsia="仿宋_GB2312" w:cs="仿宋_GB2312"/>
          <w:b/>
          <w:bCs/>
          <w:kern w:val="0"/>
          <w:sz w:val="32"/>
          <w:szCs w:val="32"/>
        </w:rPr>
        <w:t>三是</w:t>
      </w:r>
      <w:r>
        <w:rPr>
          <w:rFonts w:hint="eastAsia" w:ascii="仿宋_GB2312" w:hAnsi="仿宋_GB2312" w:eastAsia="仿宋_GB2312" w:cs="仿宋_GB2312"/>
          <w:kern w:val="0"/>
          <w:sz w:val="32"/>
          <w:szCs w:val="32"/>
        </w:rPr>
        <w:t>做好新旧成果衔接。自2024年起，严格按照新技术要点要求上报监测成果。为保证现有地价指标的连续性，按照监测数据衔接要求，测算出同质可比的地价增长率、地价指数，做好数据衔接工作。</w:t>
      </w:r>
      <w:r>
        <w:rPr>
          <w:rFonts w:hint="eastAsia" w:ascii="仿宋_GB2312" w:hAnsi="仿宋_GB2312" w:eastAsia="仿宋_GB2312" w:cs="仿宋_GB2312"/>
          <w:b/>
          <w:bCs/>
          <w:kern w:val="0"/>
          <w:sz w:val="32"/>
          <w:szCs w:val="32"/>
        </w:rPr>
        <w:t>四是</w:t>
      </w:r>
      <w:r>
        <w:rPr>
          <w:rFonts w:hint="eastAsia" w:ascii="仿宋_GB2312" w:hAnsi="仿宋_GB2312" w:eastAsia="仿宋_GB2312" w:cs="仿宋_GB2312"/>
          <w:kern w:val="0"/>
          <w:sz w:val="32"/>
          <w:szCs w:val="32"/>
        </w:rPr>
        <w:t>强化监测分析。根据我市地价管理工作的需要，通过组合地价区段，分版块或分圈层测算地价变化情况，及时掌握城市内部地价水平的空间分异。</w:t>
      </w:r>
    </w:p>
    <w:p>
      <w:pPr>
        <w:spacing w:line="580" w:lineRule="exact"/>
        <w:ind w:right="-128" w:rightChars="-61" w:firstLine="643" w:firstLineChars="200"/>
        <w:textAlignment w:val="baseline"/>
        <w:rPr>
          <w:rFonts w:ascii="楷体_GB2312" w:eastAsia="楷体_GB2312"/>
          <w:b/>
          <w:bCs/>
          <w:color w:val="000000"/>
          <w:sz w:val="32"/>
          <w:szCs w:val="32"/>
        </w:rPr>
      </w:pPr>
      <w:r>
        <w:rPr>
          <w:rFonts w:hint="eastAsia" w:ascii="楷体_GB2312" w:eastAsia="楷体_GB2312"/>
          <w:b/>
          <w:bCs/>
          <w:color w:val="000000"/>
          <w:sz w:val="32"/>
          <w:szCs w:val="32"/>
        </w:rPr>
        <w:t>（二）开展商品房成本构成调查工作。</w:t>
      </w:r>
    </w:p>
    <w:p>
      <w:pPr>
        <w:spacing w:line="580" w:lineRule="exact"/>
        <w:ind w:right="-128" w:rightChars="-61"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根据地价动态监测要求，对202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7月-2024年6月以来进入销售阶段（包括已售完）的商品房开发项目，按照各项目区位（城市中心区、边缘区、中心至边缘的过渡区）选取若干有代表性的项目进行调查。商品房成本构成的调查数据采集、整理，形成商品房成本构成调查表并上报。</w:t>
      </w:r>
    </w:p>
    <w:p>
      <w:pPr>
        <w:spacing w:line="580" w:lineRule="exact"/>
        <w:ind w:firstLine="707" w:firstLineChars="220"/>
        <w:rPr>
          <w:rFonts w:ascii="楷体_GB2312" w:eastAsia="楷体_GB2312"/>
          <w:b/>
          <w:bCs/>
          <w:color w:val="000000"/>
          <w:sz w:val="32"/>
          <w:szCs w:val="32"/>
        </w:rPr>
      </w:pPr>
      <w:r>
        <w:rPr>
          <w:rFonts w:hint="eastAsia" w:ascii="楷体_GB2312" w:eastAsia="楷体_GB2312"/>
          <w:b/>
          <w:bCs/>
          <w:color w:val="000000"/>
          <w:sz w:val="32"/>
          <w:szCs w:val="32"/>
        </w:rPr>
        <w:t>（三）</w:t>
      </w:r>
      <w:r>
        <w:rPr>
          <w:rFonts w:hint="eastAsia" w:ascii="楷体_GB2312" w:hAnsi="MS Shell Dlg" w:eastAsia="楷体_GB2312" w:cs="MS Shell Dlg"/>
          <w:b/>
          <w:sz w:val="32"/>
          <w:szCs w:val="32"/>
        </w:rPr>
        <w:t>加强政府公示地价体系建设，</w:t>
      </w:r>
      <w:r>
        <w:rPr>
          <w:rFonts w:hint="eastAsia" w:ascii="楷体_GB2312" w:eastAsia="楷体_GB2312"/>
          <w:b/>
          <w:bCs/>
          <w:color w:val="000000"/>
          <w:sz w:val="32"/>
          <w:szCs w:val="32"/>
        </w:rPr>
        <w:t>做好2024年度城区标定地价成果更新工作。</w:t>
      </w:r>
    </w:p>
    <w:p>
      <w:pPr>
        <w:spacing w:line="580" w:lineRule="exact"/>
        <w:ind w:right="-99" w:rightChars="-47" w:firstLine="704" w:firstLineChars="220"/>
      </w:pPr>
      <w:r>
        <w:rPr>
          <w:rFonts w:hint="eastAsia" w:ascii="仿宋_GB2312" w:hAnsi="仿宋" w:eastAsia="仿宋_GB2312"/>
          <w:kern w:val="0"/>
          <w:sz w:val="32"/>
          <w:szCs w:val="32"/>
        </w:rPr>
        <w:t>根据《淮北市城区基准地价、2023-2025年标定地价更新和段园等三镇国有建设用地基准地价制定工作方案》（淮自然资规〔2022〕195号），</w:t>
      </w:r>
      <w:r>
        <w:rPr>
          <w:rFonts w:hint="eastAsia" w:ascii="仿宋_GB2312" w:hAnsi="仿宋" w:eastAsia="仿宋_GB2312" w:cs="MS Shell Dlg"/>
          <w:kern w:val="0"/>
          <w:sz w:val="32"/>
          <w:szCs w:val="32"/>
        </w:rPr>
        <w:t>按照技术规程对标准宗地的宗地信息进行更新维护。结合标准宗地现场勘查情况，对标定区域、标准宗地更新维护，并对标定地价评估成果进行更新，履行相关程序，及时报市政府进行公示。</w:t>
      </w:r>
    </w:p>
    <w:p>
      <w:pPr>
        <w:spacing w:line="580" w:lineRule="exact"/>
        <w:ind w:right="-128" w:rightChars="-61" w:firstLine="643" w:firstLineChars="200"/>
        <w:textAlignment w:val="baseline"/>
        <w:rPr>
          <w:rFonts w:ascii="楷体_GB2312" w:eastAsia="楷体_GB2312"/>
          <w:b/>
          <w:bCs/>
          <w:color w:val="000000"/>
          <w:sz w:val="32"/>
          <w:szCs w:val="32"/>
        </w:rPr>
      </w:pPr>
      <w:r>
        <w:rPr>
          <w:rFonts w:hint="eastAsia" w:ascii="楷体_GB2312" w:eastAsia="楷体_GB2312"/>
          <w:b/>
          <w:bCs/>
          <w:color w:val="000000"/>
          <w:sz w:val="32"/>
          <w:szCs w:val="32"/>
        </w:rPr>
        <w:t>（四）完成《淮北市市辖区园地林地草地定级和基准地价制定成果》省厅验收，并报市政府公布实施。</w:t>
      </w:r>
    </w:p>
    <w:p>
      <w:pPr>
        <w:spacing w:line="580" w:lineRule="exact"/>
        <w:ind w:right="-128" w:rightChars="-61"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开展市辖区园地林地草地定级数据库建设工作，数据库质量检查软件通过后，汇交省级审核。做好园地林地草地定级和基准地价制定成果省厅验收准备工作，待省厅验收通过后，报市政府批准公布实施。</w:t>
      </w:r>
    </w:p>
    <w:p>
      <w:pPr>
        <w:spacing w:line="580" w:lineRule="exact"/>
        <w:ind w:right="-128" w:rightChars="-61" w:firstLine="643" w:firstLineChars="200"/>
        <w:rPr>
          <w:rFonts w:ascii="仿宋_GB2312" w:eastAsia="仿宋_GB2312"/>
          <w:sz w:val="32"/>
          <w:szCs w:val="32"/>
        </w:rPr>
      </w:pPr>
      <w:r>
        <w:rPr>
          <w:rFonts w:hint="eastAsia" w:ascii="楷体_GB2312" w:eastAsia="楷体_GB2312"/>
          <w:b/>
          <w:bCs/>
          <w:color w:val="000000"/>
          <w:sz w:val="32"/>
          <w:szCs w:val="32"/>
        </w:rPr>
        <w:t>（五）做好《淮北市城区基准地价更新成果和杜集区段园镇基准地价制定成果》、《淮北市2023年度城区标定地价更新成果》和《淮北市市辖区园地林地草地定级和基准地价制定成果》文件解读工作。</w:t>
      </w:r>
    </w:p>
    <w:p>
      <w:pPr>
        <w:spacing w:line="580" w:lineRule="exact"/>
        <w:ind w:right="-128" w:rightChars="-61" w:firstLine="640" w:firstLineChars="200"/>
        <w:rPr>
          <w:rFonts w:ascii="仿宋_GB2312" w:eastAsia="仿宋_GB2312"/>
          <w:sz w:val="32"/>
          <w:szCs w:val="32"/>
        </w:rPr>
      </w:pPr>
      <w:r>
        <w:rPr>
          <w:rFonts w:hint="eastAsia" w:ascii="仿宋_GB2312" w:eastAsia="仿宋_GB2312"/>
          <w:sz w:val="32"/>
          <w:szCs w:val="32"/>
        </w:rPr>
        <w:t>城区基准地价更新成果、段园镇基准地价制定成果、园地林地草地基准地价制定成果以及2023年城区标定地价更新成果市政府公布实施后，为让社会公众更好地知晓、了解基准地价和标定地价最新成果。及时在市政府网站和我局网站等载体进行科学解读。</w:t>
      </w:r>
    </w:p>
    <w:p>
      <w:pPr>
        <w:spacing w:line="580" w:lineRule="exact"/>
        <w:ind w:right="-99" w:rightChars="-47" w:firstLine="620" w:firstLineChars="193"/>
        <w:textAlignment w:val="baseline"/>
        <w:rPr>
          <w:rFonts w:ascii="楷体_GB2312" w:eastAsia="楷体_GB2312"/>
          <w:b/>
          <w:bCs/>
          <w:color w:val="000000"/>
          <w:kern w:val="0"/>
          <w:sz w:val="32"/>
          <w:szCs w:val="32"/>
        </w:rPr>
      </w:pPr>
      <w:r>
        <w:rPr>
          <w:rFonts w:hint="eastAsia" w:ascii="楷体_GB2312" w:eastAsia="楷体_GB2312"/>
          <w:b/>
          <w:bCs/>
          <w:color w:val="000000"/>
          <w:kern w:val="0"/>
          <w:sz w:val="32"/>
          <w:szCs w:val="32"/>
        </w:rPr>
        <w:t>（六）组织召开新闻发布会，加强新一轮地价成果应用工作。</w:t>
      </w:r>
      <w:r>
        <w:rPr>
          <w:rFonts w:hint="eastAsia" w:ascii="仿宋_GB2312" w:eastAsia="仿宋_GB2312"/>
          <w:sz w:val="32"/>
          <w:szCs w:val="32"/>
        </w:rPr>
        <w:t>为使城区基准地价更新成果、段园镇基准地价制定成果、园地林地草地基准地价制定成果以及2023年度城区标定地价更新成果尽快实施应用。拟于成果公布后，组织召开</w:t>
      </w:r>
      <w:r>
        <w:rPr>
          <w:rFonts w:hint="eastAsia" w:ascii="仿宋_GB2312" w:hAnsi="微软雅黑" w:eastAsia="仿宋_GB2312"/>
          <w:sz w:val="32"/>
          <w:szCs w:val="32"/>
        </w:rPr>
        <w:t>成果</w:t>
      </w:r>
      <w:r>
        <w:rPr>
          <w:rFonts w:hint="eastAsia" w:ascii="仿宋_GB2312" w:hAnsi="Calibri" w:eastAsia="仿宋_GB2312"/>
          <w:spacing w:val="-6"/>
          <w:sz w:val="32"/>
          <w:szCs w:val="32"/>
        </w:rPr>
        <w:t>新闻发布会。</w:t>
      </w:r>
      <w:r>
        <w:rPr>
          <w:rStyle w:val="13"/>
          <w:rFonts w:hint="eastAsia" w:eastAsia="仿宋_GB2312"/>
          <w:sz w:val="32"/>
          <w:szCs w:val="32"/>
        </w:rPr>
        <w:t>通过</w:t>
      </w:r>
      <w:r>
        <w:rPr>
          <w:rFonts w:hint="eastAsia" w:ascii="仿宋_GB2312" w:eastAsia="仿宋_GB2312"/>
          <w:spacing w:val="-6"/>
          <w:sz w:val="32"/>
          <w:szCs w:val="32"/>
        </w:rPr>
        <w:t>新闻发布，最大程度让社会</w:t>
      </w:r>
      <w:r>
        <w:rPr>
          <w:rFonts w:hint="eastAsia" w:ascii="仿宋_GB2312" w:eastAsia="仿宋_GB2312"/>
          <w:sz w:val="32"/>
          <w:szCs w:val="32"/>
        </w:rPr>
        <w:t>公众</w:t>
      </w:r>
      <w:r>
        <w:rPr>
          <w:rFonts w:hint="eastAsia" w:ascii="仿宋_GB2312" w:eastAsia="仿宋_GB2312"/>
          <w:spacing w:val="-6"/>
          <w:sz w:val="32"/>
          <w:szCs w:val="32"/>
        </w:rPr>
        <w:t>知晓最新地价成果以及基准地价和标定地价作用</w:t>
      </w:r>
      <w:r>
        <w:rPr>
          <w:rFonts w:hint="eastAsia" w:ascii="仿宋_GB2312" w:eastAsia="仿宋_GB2312"/>
          <w:sz w:val="32"/>
          <w:szCs w:val="32"/>
        </w:rPr>
        <w:t>，以利于</w:t>
      </w:r>
      <w:r>
        <w:rPr>
          <w:rFonts w:hint="eastAsia" w:ascii="仿宋_GB2312" w:hAnsi="Arial" w:eastAsia="仿宋_GB2312" w:cs="Arial"/>
          <w:sz w:val="32"/>
          <w:szCs w:val="32"/>
          <w:shd w:val="clear" w:color="auto" w:fill="FFFFFF"/>
        </w:rPr>
        <w:t>政府进一步加强对土地价格的宏观调控和地价管理，规范和完善土地市场。</w:t>
      </w:r>
    </w:p>
    <w:p>
      <w:pPr>
        <w:widowControl/>
        <w:spacing w:line="580" w:lineRule="exact"/>
        <w:ind w:right="-99" w:rightChars="-47" w:firstLine="643" w:firstLineChars="200"/>
        <w:rPr>
          <w:rFonts w:ascii="仿宋_GB2312" w:hAnsi="仿宋" w:eastAsia="仿宋_GB2312" w:cs="MS Shell Dlg"/>
          <w:kern w:val="0"/>
          <w:sz w:val="32"/>
          <w:szCs w:val="32"/>
        </w:rPr>
      </w:pPr>
      <w:r>
        <w:rPr>
          <w:rFonts w:hint="eastAsia" w:ascii="楷体_GB2312" w:eastAsia="楷体_GB2312"/>
          <w:b/>
          <w:bCs/>
          <w:color w:val="000000"/>
          <w:kern w:val="0"/>
          <w:sz w:val="32"/>
          <w:szCs w:val="32"/>
        </w:rPr>
        <w:t>（七）做好基准地价成果电子系统备案工作。</w:t>
      </w:r>
      <w:r>
        <w:rPr>
          <w:rFonts w:hint="eastAsia" w:ascii="仿宋_GB2312" w:hAnsi="宋体" w:eastAsia="仿宋_GB2312"/>
          <w:spacing w:val="-4"/>
          <w:sz w:val="32"/>
          <w:szCs w:val="32"/>
        </w:rPr>
        <w:t>市政府公布实施后，及时完成</w:t>
      </w:r>
      <w:r>
        <w:rPr>
          <w:rFonts w:hint="eastAsia" w:ascii="仿宋_GB2312" w:eastAsia="仿宋_GB2312"/>
          <w:sz w:val="32"/>
          <w:szCs w:val="32"/>
        </w:rPr>
        <w:t>城区基准地价成果、段园镇基准地价成果和园地林地草地基准地价成果</w:t>
      </w:r>
      <w:r>
        <w:rPr>
          <w:rFonts w:hint="eastAsia" w:ascii="仿宋_GB2312" w:hAnsi="仿宋" w:eastAsia="仿宋_GB2312" w:cs="MS Shell Dlg"/>
          <w:kern w:val="0"/>
          <w:sz w:val="32"/>
          <w:szCs w:val="32"/>
        </w:rPr>
        <w:t>在自然资源部基准地价备案系统上传备案。</w:t>
      </w:r>
    </w:p>
    <w:p>
      <w:pPr>
        <w:spacing w:line="580" w:lineRule="exact"/>
        <w:ind w:right="-128" w:rightChars="-61" w:firstLine="643" w:firstLineChars="200"/>
        <w:rPr>
          <w:rFonts w:ascii="楷体_GB2312" w:eastAsia="楷体_GB2312"/>
          <w:b/>
          <w:bCs/>
          <w:color w:val="000000"/>
          <w:sz w:val="32"/>
          <w:szCs w:val="32"/>
        </w:rPr>
      </w:pPr>
      <w:r>
        <w:rPr>
          <w:rFonts w:hint="eastAsia" w:ascii="楷体_GB2312" w:eastAsia="楷体_GB2312"/>
          <w:b/>
          <w:bCs/>
          <w:color w:val="000000"/>
          <w:sz w:val="32"/>
          <w:szCs w:val="32"/>
        </w:rPr>
        <w:t>（八）加强土地价格市场管理，规范土地价格市场秩序。</w:t>
      </w:r>
    </w:p>
    <w:p>
      <w:pPr>
        <w:spacing w:line="580" w:lineRule="exact"/>
        <w:ind w:right="-128" w:rightChars="-61" w:firstLine="643" w:firstLineChars="200"/>
      </w:pPr>
      <w:r>
        <w:rPr>
          <w:rFonts w:hint="eastAsia" w:ascii="仿宋_GB2312" w:hAnsi="仿宋" w:eastAsia="仿宋_GB2312" w:cs="MS Shell Dlg"/>
          <w:b/>
          <w:kern w:val="0"/>
          <w:sz w:val="32"/>
          <w:szCs w:val="32"/>
        </w:rPr>
        <w:t>一是</w:t>
      </w:r>
      <w:r>
        <w:rPr>
          <w:rFonts w:hint="eastAsia" w:ascii="仿宋_GB2312" w:hAnsi="仿宋" w:eastAsia="仿宋_GB2312" w:cs="MS Shell Dlg"/>
          <w:kern w:val="0"/>
          <w:sz w:val="32"/>
          <w:szCs w:val="32"/>
        </w:rPr>
        <w:t>按照自然资源部对土地估价报告电子化备案的要求，协助抓好我市土地评估中介机构的土地估价报告电子备案落实工作。</w:t>
      </w:r>
      <w:r>
        <w:rPr>
          <w:rFonts w:hint="eastAsia" w:ascii="仿宋_GB2312" w:hAnsi="仿宋" w:eastAsia="仿宋_GB2312" w:cs="MS Shell Dlg"/>
          <w:b/>
          <w:kern w:val="0"/>
          <w:sz w:val="32"/>
          <w:szCs w:val="32"/>
        </w:rPr>
        <w:t>二是</w:t>
      </w:r>
      <w:r>
        <w:rPr>
          <w:rFonts w:hint="eastAsia" w:ascii="仿宋_GB2312" w:hAnsi="仿宋" w:eastAsia="仿宋_GB2312" w:cs="MS Shell Dlg"/>
          <w:kern w:val="0"/>
          <w:sz w:val="32"/>
          <w:szCs w:val="32"/>
        </w:rPr>
        <w:t>配合开发利用科，加强辖区内土地评估中介机构常态化监管。</w:t>
      </w:r>
      <w:r>
        <w:rPr>
          <w:rFonts w:hint="eastAsia" w:ascii="仿宋_GB2312" w:hAnsi="仿宋" w:eastAsia="仿宋_GB2312" w:cs="MS Shell Dlg"/>
          <w:b/>
          <w:kern w:val="0"/>
          <w:sz w:val="32"/>
          <w:szCs w:val="32"/>
        </w:rPr>
        <w:t>三是</w:t>
      </w:r>
      <w:r>
        <w:rPr>
          <w:rFonts w:hint="eastAsia" w:ascii="仿宋_GB2312" w:hAnsi="仿宋" w:eastAsia="仿宋_GB2312" w:cs="MS Shell Dlg"/>
          <w:kern w:val="0"/>
          <w:sz w:val="32"/>
          <w:szCs w:val="32"/>
        </w:rPr>
        <w:t>结合省土地估价师与土地登记代理人协会对中介评估机构的土地估价报告抽查评审结果，组织全市土地估价机构从业人员参加最新地价政策、评估技术规范等业务培训。</w:t>
      </w:r>
    </w:p>
    <w:p>
      <w:pPr>
        <w:pStyle w:val="7"/>
        <w:adjustRightInd w:val="0"/>
        <w:snapToGrid w:val="0"/>
        <w:spacing w:line="560" w:lineRule="exact"/>
        <w:ind w:firstLine="627" w:firstLineChars="196"/>
        <w:rPr>
          <w:rFonts w:ascii="TimesNewRoman" w:hAnsi="TimesNewRoman" w:eastAsia="仿宋_GB2312" w:cs="TimesNewRoman"/>
          <w:bCs/>
          <w:sz w:val="32"/>
          <w:szCs w:val="32"/>
        </w:rPr>
      </w:pPr>
    </w:p>
    <w:p/>
    <w:p>
      <w:pPr>
        <w:pStyle w:val="7"/>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2024年单位预算表</w:t>
      </w:r>
    </w:p>
    <w:p>
      <w:pPr>
        <w:pStyle w:val="7"/>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Pr>
        <w:pStyle w:val="7"/>
        <w:adjustRightInd w:val="0"/>
        <w:snapToGrid w:val="0"/>
        <w:spacing w:line="560" w:lineRule="exact"/>
        <w:ind w:firstLine="1800" w:firstLineChars="500"/>
        <w:jc w:val="both"/>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2024年单位预算情况说明</w:t>
      </w:r>
    </w:p>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一、关于2024年收支总表的说明</w:t>
      </w:r>
    </w:p>
    <w:p>
      <w:pPr>
        <w:pStyle w:val="7"/>
        <w:adjustRightInd w:val="0"/>
        <w:snapToGrid w:val="0"/>
        <w:spacing w:line="560" w:lineRule="exact"/>
        <w:ind w:firstLine="627" w:firstLineChars="196"/>
        <w:rPr>
          <w:rFonts w:hint="eastAsia" w:ascii="TimesNewRoman" w:hAnsi="TimesNewRoman" w:eastAsia="仿宋_GB2312" w:cs="TimesNewRoman"/>
          <w:color w:val="auto"/>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地价管理所</w:t>
      </w:r>
      <w:r>
        <w:rPr>
          <w:rFonts w:hint="eastAsia" w:ascii="TimesNewRoman" w:hAnsi="TimesNewRoman" w:eastAsia="仿宋_GB2312" w:cs="TimesNewRoman"/>
          <w:sz w:val="32"/>
          <w:szCs w:val="32"/>
        </w:rPr>
        <w:t>所有收入和支出均纳入单位预算管理。淮北市</w:t>
      </w:r>
      <w:r>
        <w:rPr>
          <w:rFonts w:hint="eastAsia" w:ascii="TimesNewRoman" w:hAnsi="TimesNewRoman" w:eastAsia="仿宋_GB2312" w:cs="TimesNewRoman"/>
          <w:sz w:val="32"/>
          <w:szCs w:val="32"/>
          <w:lang w:eastAsia="zh-CN"/>
        </w:rPr>
        <w:t>地价管理所</w:t>
      </w:r>
      <w:r>
        <w:rPr>
          <w:rFonts w:hint="eastAsia" w:ascii="TimesNewRoman" w:hAnsi="TimesNewRoman" w:eastAsia="仿宋_GB2312" w:cs="TimesNewRoman"/>
          <w:sz w:val="32"/>
          <w:szCs w:val="32"/>
        </w:rPr>
        <w:t>202</w:t>
      </w:r>
      <w:r>
        <w:rPr>
          <w:rFonts w:hint="eastAsia" w:ascii="TimesNewRoman" w:hAnsi="TimesNewRoman" w:eastAsia="仿宋_GB2312" w:cs="TimesNewRoman"/>
          <w:sz w:val="32"/>
          <w:szCs w:val="32"/>
          <w:lang w:val="en-US" w:eastAsia="zh-CN"/>
        </w:rPr>
        <w:t>4</w:t>
      </w:r>
      <w:r>
        <w:rPr>
          <w:rFonts w:hint="eastAsia" w:ascii="TimesNewRoman" w:hAnsi="TimesNewRoman" w:eastAsia="仿宋_GB2312" w:cs="TimesNewRoman"/>
          <w:sz w:val="32"/>
          <w:szCs w:val="32"/>
        </w:rPr>
        <w:t>年收支总预算</w:t>
      </w:r>
      <w:r>
        <w:rPr>
          <w:rFonts w:hint="eastAsia" w:ascii="TimesNewRoman" w:hAnsi="TimesNewRoman" w:eastAsia="仿宋_GB2312" w:cs="TimesNewRoman"/>
          <w:sz w:val="32"/>
          <w:szCs w:val="32"/>
          <w:lang w:val="en-US" w:eastAsia="zh-CN"/>
        </w:rPr>
        <w:t>107.39</w:t>
      </w:r>
      <w:r>
        <w:rPr>
          <w:rFonts w:hint="eastAsia" w:ascii="TimesNewRoman" w:hAnsi="TimesNewRoman" w:eastAsia="仿宋_GB2312" w:cs="TimesNewRoman"/>
          <w:sz w:val="32"/>
          <w:szCs w:val="32"/>
        </w:rPr>
        <w:t>万元，收入包括一般公共预算拨款收入、政府性基金预算拨款收入，支出包括：</w:t>
      </w:r>
      <w:r>
        <w:rPr>
          <w:rFonts w:hint="eastAsia" w:ascii="TimesNewRoman" w:hAnsi="TimesNewRoman" w:eastAsia="仿宋_GB2312" w:cs="TimesNewRoman"/>
          <w:color w:val="auto"/>
          <w:sz w:val="32"/>
          <w:szCs w:val="32"/>
        </w:rPr>
        <w:t>社会保障和就业支出、卫生健康支出、</w:t>
      </w:r>
      <w:r>
        <w:rPr>
          <w:rFonts w:hint="eastAsia" w:ascii="TimesNewRoman" w:hAnsi="TimesNewRoman" w:eastAsia="仿宋_GB2312" w:cs="TimesNewRoman"/>
          <w:color w:val="auto"/>
          <w:sz w:val="32"/>
          <w:szCs w:val="32"/>
          <w:lang w:eastAsia="zh-CN"/>
        </w:rPr>
        <w:t>城乡社区支出、自然资源海洋气象等支出、</w:t>
      </w:r>
      <w:r>
        <w:rPr>
          <w:rFonts w:hint="eastAsia" w:ascii="TimesNewRoman" w:hAnsi="TimesNewRoman" w:eastAsia="仿宋_GB2312" w:cs="TimesNewRoman"/>
          <w:color w:val="auto"/>
          <w:sz w:val="32"/>
          <w:szCs w:val="32"/>
        </w:rPr>
        <w:t>住房保障支出、</w:t>
      </w:r>
      <w:r>
        <w:rPr>
          <w:rFonts w:hint="eastAsia" w:ascii="TimesNewRoman" w:hAnsi="TimesNewRoman" w:eastAsia="仿宋_GB2312" w:cs="TimesNewRoman"/>
          <w:color w:val="auto"/>
          <w:sz w:val="32"/>
          <w:szCs w:val="32"/>
          <w:lang w:eastAsia="zh-CN"/>
        </w:rPr>
        <w:t>粮油物资储备支出</w:t>
      </w:r>
      <w:r>
        <w:rPr>
          <w:rFonts w:hint="eastAsia" w:ascii="TimesNewRoman" w:hAnsi="TimesNewRoman" w:eastAsia="仿宋_GB2312" w:cs="TimesNewRoman"/>
          <w:color w:val="auto"/>
          <w:sz w:val="32"/>
          <w:szCs w:val="32"/>
        </w:rPr>
        <w:t>。</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二、关于2024年收入总表的说明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地价管理所</w:t>
      </w:r>
      <w:r>
        <w:rPr>
          <w:rFonts w:hint="eastAsia" w:ascii="TimesNewRoman" w:hAnsi="TimesNewRoman" w:eastAsia="仿宋_GB2312" w:cs="TimesNewRoman"/>
          <w:kern w:val="0"/>
          <w:sz w:val="32"/>
          <w:szCs w:val="32"/>
        </w:rPr>
        <w:t>2024年收入预算</w:t>
      </w:r>
      <w:r>
        <w:rPr>
          <w:rFonts w:hint="eastAsia" w:ascii="TimesNewRoman" w:hAnsi="TimesNewRoman" w:eastAsia="仿宋_GB2312" w:cs="TimesNewRoman"/>
          <w:kern w:val="0"/>
          <w:sz w:val="32"/>
          <w:szCs w:val="32"/>
          <w:lang w:val="en-US" w:eastAsia="zh-CN"/>
        </w:rPr>
        <w:t>107.39</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107.39</w:t>
      </w:r>
      <w:r>
        <w:rPr>
          <w:rFonts w:hint="eastAsia" w:ascii="TimesNewRoman" w:hAnsi="TimesNewRoman" w:eastAsia="仿宋_GB2312" w:cs="TimesNewRoman"/>
          <w:kern w:val="0"/>
          <w:sz w:val="32"/>
          <w:szCs w:val="32"/>
        </w:rPr>
        <w:t>万元。</w:t>
      </w:r>
    </w:p>
    <w:p>
      <w:pPr>
        <w:ind w:firstLine="643"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107.39</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42.63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39.70</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val="en-US" w:eastAsia="zh-CN"/>
        </w:rPr>
        <w:t>0.22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0.52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color w:val="auto"/>
          <w:kern w:val="0"/>
          <w:sz w:val="32"/>
          <w:szCs w:val="32"/>
          <w:lang w:eastAsia="zh-CN"/>
        </w:rPr>
        <w:t>人员经费调整</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64.76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60.30</w:t>
      </w:r>
      <w:r>
        <w:rPr>
          <w:rFonts w:hint="eastAsia" w:ascii="TimesNewRoman" w:hAnsi="TimesNewRoman" w:eastAsia="仿宋_GB2312" w:cs="TimesNewRoman"/>
          <w:kern w:val="0"/>
          <w:sz w:val="32"/>
          <w:szCs w:val="32"/>
        </w:rPr>
        <w:t>%，比2023年预算减少</w:t>
      </w:r>
      <w:r>
        <w:rPr>
          <w:rFonts w:hint="eastAsia" w:ascii="TimesNewRoman" w:hAnsi="TimesNewRoman" w:eastAsia="仿宋_GB2312" w:cs="TimesNewRoman"/>
          <w:kern w:val="0"/>
          <w:sz w:val="32"/>
          <w:szCs w:val="32"/>
          <w:lang w:val="en-US" w:eastAsia="zh-CN"/>
        </w:rPr>
        <w:t>29.84</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31.54</w:t>
      </w:r>
      <w:r>
        <w:rPr>
          <w:rFonts w:hint="eastAsia" w:ascii="TimesNewRoman" w:hAnsi="TimesNewRoman" w:eastAsia="仿宋_GB2312" w:cs="TimesNewRoman"/>
          <w:kern w:val="0"/>
          <w:sz w:val="32"/>
          <w:szCs w:val="32"/>
        </w:rPr>
        <w:t>%，原因主要</w:t>
      </w:r>
      <w:r>
        <w:rPr>
          <w:rFonts w:hint="eastAsia" w:ascii="TimesNewRoman" w:hAnsi="TimesNewRoman" w:eastAsia="仿宋_GB2312" w:cs="TimesNewRoman"/>
          <w:kern w:val="0"/>
          <w:sz w:val="32"/>
          <w:szCs w:val="32"/>
          <w:lang w:eastAsia="zh-CN"/>
        </w:rPr>
        <w:t>是项目支出减少</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与</w:t>
      </w:r>
      <w:r>
        <w:rPr>
          <w:rFonts w:hint="eastAsia" w:ascii="TimesNewRoman" w:hAnsi="TimesNewRoman" w:eastAsia="仿宋_GB2312" w:cs="TimesNewRoman"/>
          <w:kern w:val="0"/>
          <w:sz w:val="32"/>
          <w:szCs w:val="32"/>
        </w:rPr>
        <w:t>2023年预算</w:t>
      </w:r>
      <w:r>
        <w:rPr>
          <w:rFonts w:hint="eastAsia" w:ascii="TimesNewRoman" w:hAnsi="TimesNewRoman" w:eastAsia="仿宋_GB2312" w:cs="TimesNewRoman"/>
          <w:kern w:val="0"/>
          <w:sz w:val="32"/>
          <w:szCs w:val="32"/>
          <w:lang w:eastAsia="zh-CN"/>
        </w:rPr>
        <w:t>一致，原因</w:t>
      </w:r>
      <w:r>
        <w:rPr>
          <w:rFonts w:hint="eastAsia" w:ascii="TimesNewRoman" w:hAnsi="TimesNewRoman" w:eastAsia="仿宋_GB2312" w:cs="TimesNewRoman"/>
          <w:kern w:val="0"/>
          <w:sz w:val="32"/>
          <w:szCs w:val="32"/>
        </w:rPr>
        <w:t>主要</w:t>
      </w:r>
      <w:r>
        <w:rPr>
          <w:rFonts w:hint="eastAsia" w:ascii="TimesNewRoman" w:hAnsi="TimesNewRoman" w:eastAsia="仿宋_GB2312" w:cs="TimesNewRoman"/>
          <w:kern w:val="0"/>
          <w:sz w:val="32"/>
          <w:szCs w:val="32"/>
          <w:lang w:eastAsia="zh-CN"/>
        </w:rPr>
        <w:t>是本年度未安排</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eastAsia="zh-CN"/>
        </w:rPr>
        <w:t>。</w:t>
      </w:r>
    </w:p>
    <w:p>
      <w:pPr>
        <w:pStyle w:val="7"/>
        <w:adjustRightInd w:val="0"/>
        <w:snapToGrid w:val="0"/>
        <w:spacing w:line="560" w:lineRule="exact"/>
        <w:ind w:firstLine="640" w:firstLineChars="200"/>
        <w:rPr>
          <w:rFonts w:ascii="TimesNewRoman" w:hAnsi="TimesNewRoman" w:eastAsia="黑体" w:cs="TimesNewRoman"/>
          <w:bCs/>
          <w:sz w:val="32"/>
          <w:szCs w:val="32"/>
        </w:rPr>
      </w:pPr>
      <w:r>
        <w:rPr>
          <w:rFonts w:hint="eastAsia" w:ascii="TimesNewRoman" w:hAnsi="TimesNewRoman" w:eastAsia="黑体" w:cs="TimesNewRoman"/>
          <w:bCs/>
          <w:sz w:val="32"/>
          <w:szCs w:val="32"/>
        </w:rPr>
        <w:t>三、关于2024年支出总表的说明</w:t>
      </w:r>
    </w:p>
    <w:p>
      <w:pPr>
        <w:ind w:firstLine="960" w:firstLineChars="3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地价管理所</w:t>
      </w:r>
      <w:r>
        <w:rPr>
          <w:rFonts w:hint="eastAsia" w:ascii="TimesNewRoman" w:hAnsi="TimesNewRoman" w:eastAsia="仿宋_GB2312" w:cs="TimesNewRoman"/>
          <w:kern w:val="0"/>
          <w:sz w:val="32"/>
          <w:szCs w:val="32"/>
        </w:rPr>
        <w:t>2024年支出预算</w:t>
      </w:r>
      <w:r>
        <w:rPr>
          <w:rFonts w:hint="eastAsia" w:ascii="TimesNewRoman" w:hAnsi="TimesNewRoman" w:eastAsia="仿宋_GB2312" w:cs="TimesNewRoman"/>
          <w:kern w:val="0"/>
          <w:sz w:val="32"/>
          <w:szCs w:val="32"/>
          <w:lang w:val="en-US" w:eastAsia="zh-CN"/>
        </w:rPr>
        <w:t>107.39</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29.62</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21.62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项目支出减少</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42.63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39.70</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64.76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60.30</w:t>
      </w:r>
      <w:r>
        <w:rPr>
          <w:rFonts w:hint="eastAsia" w:ascii="TimesNewRoman" w:hAnsi="TimesNewRoman" w:eastAsia="仿宋_GB2312" w:cs="TimesNewRoman"/>
          <w:kern w:val="0"/>
          <w:sz w:val="32"/>
          <w:szCs w:val="32"/>
        </w:rPr>
        <w:t>%，主要用于</w:t>
      </w:r>
      <w:r>
        <w:rPr>
          <w:rFonts w:hint="eastAsia" w:ascii="TimesNewRoman" w:hAnsi="TimesNewRoman" w:eastAsia="仿宋_GB2312" w:cs="TimesNewRoman"/>
          <w:kern w:val="0"/>
          <w:sz w:val="32"/>
          <w:szCs w:val="32"/>
          <w:lang w:eastAsia="zh-CN"/>
        </w:rPr>
        <w:t>单位项目支出</w:t>
      </w:r>
      <w:r>
        <w:rPr>
          <w:rFonts w:hint="eastAsia" w:ascii="TimesNewRoman" w:hAnsi="TimesNewRoman" w:eastAsia="仿宋_GB2312" w:cs="TimesNewRoman"/>
          <w:kern w:val="0"/>
          <w:sz w:val="32"/>
          <w:szCs w:val="32"/>
        </w:rPr>
        <w:t>。</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四、关于2024年财政拨款收支总表的说明</w:t>
      </w:r>
    </w:p>
    <w:p>
      <w:pPr>
        <w:ind w:firstLine="960" w:firstLineChars="300"/>
        <w:rPr>
          <w:rFonts w:ascii="TimesNewRoman" w:hAnsi="TimesNewRoman" w:eastAsia="仿宋_GB2312" w:cs="TimesNewRoman"/>
          <w:color w:val="auto"/>
          <w:kern w:val="0"/>
          <w:sz w:val="32"/>
          <w:szCs w:val="32"/>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地价管理所</w:t>
      </w:r>
      <w:r>
        <w:rPr>
          <w:rFonts w:hint="eastAsia" w:ascii="TimesNewRoman" w:hAnsi="TimesNewRoman" w:eastAsia="仿宋_GB2312" w:cs="TimesNewRoman"/>
          <w:kern w:val="0"/>
          <w:sz w:val="32"/>
          <w:szCs w:val="32"/>
        </w:rPr>
        <w:t>2024年财政拨款收支预算</w:t>
      </w:r>
      <w:r>
        <w:rPr>
          <w:rFonts w:hint="eastAsia" w:ascii="TimesNewRoman" w:hAnsi="TimesNewRoman" w:eastAsia="仿宋_GB2312" w:cs="TimesNewRoman"/>
          <w:kern w:val="0"/>
          <w:sz w:val="32"/>
          <w:szCs w:val="32"/>
          <w:lang w:val="en-US" w:eastAsia="zh-CN"/>
        </w:rPr>
        <w:t>107.39</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42.63</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64.76</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107.39</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color w:val="auto"/>
          <w:kern w:val="0"/>
          <w:sz w:val="32"/>
          <w:szCs w:val="32"/>
        </w:rPr>
        <w:t>支出按功能分类分为：社会保障和就业支出</w:t>
      </w:r>
      <w:r>
        <w:rPr>
          <w:rFonts w:hint="eastAsia" w:ascii="TimesNewRoman" w:hAnsi="TimesNewRoman" w:eastAsia="仿宋_GB2312" w:cs="TimesNewRoman"/>
          <w:color w:val="auto"/>
          <w:kern w:val="0"/>
          <w:sz w:val="32"/>
          <w:szCs w:val="32"/>
          <w:lang w:val="en-US" w:eastAsia="zh-CN"/>
        </w:rPr>
        <w:t>8.29</w:t>
      </w:r>
      <w:r>
        <w:rPr>
          <w:rFonts w:hint="eastAsia" w:ascii="TimesNewRoman" w:hAnsi="TimesNewRoman" w:eastAsia="仿宋_GB2312" w:cs="TimesNewRoman"/>
          <w:color w:val="auto"/>
          <w:kern w:val="0"/>
          <w:sz w:val="32"/>
          <w:szCs w:val="32"/>
        </w:rPr>
        <w:t>万元，占</w:t>
      </w:r>
      <w:r>
        <w:rPr>
          <w:rFonts w:hint="eastAsia" w:ascii="TimesNewRoman" w:hAnsi="TimesNewRoman" w:eastAsia="仿宋_GB2312" w:cs="TimesNewRoman"/>
          <w:color w:val="auto"/>
          <w:kern w:val="0"/>
          <w:sz w:val="32"/>
          <w:szCs w:val="32"/>
          <w:lang w:val="en-US" w:eastAsia="zh-CN"/>
        </w:rPr>
        <w:t>7.71</w:t>
      </w:r>
      <w:r>
        <w:rPr>
          <w:rFonts w:hint="eastAsia" w:ascii="TimesNewRoman" w:hAnsi="TimesNewRoman" w:eastAsia="仿宋_GB2312" w:cs="TimesNewRoman"/>
          <w:color w:val="auto"/>
          <w:kern w:val="0"/>
          <w:sz w:val="32"/>
          <w:szCs w:val="32"/>
        </w:rPr>
        <w:t>%；卫生健康支出</w:t>
      </w:r>
      <w:r>
        <w:rPr>
          <w:rFonts w:hint="eastAsia" w:ascii="TimesNewRoman" w:hAnsi="TimesNewRoman" w:eastAsia="仿宋_GB2312" w:cs="TimesNewRoman"/>
          <w:color w:val="auto"/>
          <w:kern w:val="0"/>
          <w:sz w:val="32"/>
          <w:szCs w:val="32"/>
          <w:lang w:val="en-US" w:eastAsia="zh-CN"/>
        </w:rPr>
        <w:t>1.90</w:t>
      </w:r>
      <w:r>
        <w:rPr>
          <w:rFonts w:hint="eastAsia" w:ascii="TimesNewRoman" w:hAnsi="TimesNewRoman" w:eastAsia="仿宋_GB2312" w:cs="TimesNewRoman"/>
          <w:color w:val="auto"/>
          <w:kern w:val="0"/>
          <w:sz w:val="32"/>
          <w:szCs w:val="32"/>
        </w:rPr>
        <w:t>万元，占</w:t>
      </w:r>
      <w:r>
        <w:rPr>
          <w:rFonts w:hint="eastAsia" w:ascii="TimesNewRoman" w:hAnsi="TimesNewRoman" w:eastAsia="仿宋_GB2312" w:cs="TimesNewRoman"/>
          <w:color w:val="auto"/>
          <w:kern w:val="0"/>
          <w:sz w:val="32"/>
          <w:szCs w:val="32"/>
          <w:lang w:val="en-US" w:eastAsia="zh-CN"/>
        </w:rPr>
        <w:t>1.77</w:t>
      </w:r>
      <w:r>
        <w:rPr>
          <w:rFonts w:hint="eastAsia" w:ascii="TimesNewRoman" w:hAnsi="TimesNewRoman" w:eastAsia="仿宋_GB2312" w:cs="TimesNewRoman"/>
          <w:color w:val="auto"/>
          <w:kern w:val="0"/>
          <w:sz w:val="32"/>
          <w:szCs w:val="32"/>
        </w:rPr>
        <w:t>%；</w:t>
      </w:r>
      <w:r>
        <w:rPr>
          <w:rFonts w:hint="eastAsia" w:ascii="TimesNewRoman" w:hAnsi="TimesNewRoman" w:eastAsia="仿宋_GB2312" w:cs="TimesNewRoman"/>
          <w:color w:val="auto"/>
          <w:kern w:val="0"/>
          <w:sz w:val="32"/>
          <w:szCs w:val="32"/>
          <w:lang w:eastAsia="zh-CN"/>
        </w:rPr>
        <w:t>城乡社区支出</w:t>
      </w:r>
      <w:r>
        <w:rPr>
          <w:rFonts w:hint="eastAsia" w:ascii="TimesNewRoman" w:hAnsi="TimesNewRoman" w:eastAsia="仿宋_GB2312" w:cs="TimesNewRoman"/>
          <w:color w:val="auto"/>
          <w:kern w:val="0"/>
          <w:sz w:val="32"/>
          <w:szCs w:val="32"/>
          <w:lang w:val="en-US" w:eastAsia="zh-CN"/>
        </w:rPr>
        <w:t>64.76</w:t>
      </w:r>
      <w:r>
        <w:rPr>
          <w:rFonts w:hint="eastAsia" w:ascii="TimesNewRoman" w:hAnsi="TimesNewRoman" w:eastAsia="仿宋_GB2312" w:cs="TimesNewRoman"/>
          <w:color w:val="auto"/>
          <w:kern w:val="0"/>
          <w:sz w:val="32"/>
          <w:szCs w:val="32"/>
        </w:rPr>
        <w:t>万元，占</w:t>
      </w:r>
      <w:r>
        <w:rPr>
          <w:rFonts w:hint="eastAsia" w:ascii="TimesNewRoman" w:hAnsi="TimesNewRoman" w:eastAsia="仿宋_GB2312" w:cs="TimesNewRoman"/>
          <w:color w:val="auto"/>
          <w:kern w:val="0"/>
          <w:sz w:val="32"/>
          <w:szCs w:val="32"/>
          <w:lang w:val="en-US" w:eastAsia="zh-CN"/>
        </w:rPr>
        <w:t>60.30</w:t>
      </w:r>
      <w:r>
        <w:rPr>
          <w:rFonts w:hint="eastAsia" w:ascii="TimesNewRoman" w:hAnsi="TimesNewRoman" w:eastAsia="仿宋_GB2312" w:cs="TimesNewRoman"/>
          <w:color w:val="auto"/>
          <w:kern w:val="0"/>
          <w:sz w:val="32"/>
          <w:szCs w:val="32"/>
        </w:rPr>
        <w:t>%</w:t>
      </w:r>
      <w:r>
        <w:rPr>
          <w:rFonts w:hint="eastAsia" w:ascii="TimesNewRoman" w:hAnsi="TimesNewRoman" w:eastAsia="仿宋_GB2312" w:cs="TimesNewRoman"/>
          <w:color w:val="auto"/>
          <w:kern w:val="0"/>
          <w:sz w:val="32"/>
          <w:szCs w:val="32"/>
          <w:lang w:eastAsia="zh-CN"/>
        </w:rPr>
        <w:t>；</w:t>
      </w:r>
      <w:r>
        <w:rPr>
          <w:rFonts w:hint="eastAsia" w:ascii="TimesNewRoman" w:hAnsi="TimesNewRoman" w:eastAsia="仿宋_GB2312" w:cs="TimesNewRoman"/>
          <w:color w:val="auto"/>
          <w:sz w:val="32"/>
          <w:szCs w:val="32"/>
          <w:lang w:eastAsia="zh-CN"/>
        </w:rPr>
        <w:t>自然资源海洋气象等支出</w:t>
      </w:r>
      <w:r>
        <w:rPr>
          <w:rFonts w:hint="eastAsia" w:ascii="TimesNewRoman" w:hAnsi="TimesNewRoman" w:eastAsia="仿宋_GB2312" w:cs="TimesNewRoman"/>
          <w:color w:val="auto"/>
          <w:kern w:val="0"/>
          <w:sz w:val="32"/>
          <w:szCs w:val="32"/>
          <w:lang w:val="en-US" w:eastAsia="zh-CN"/>
        </w:rPr>
        <w:t>26.45</w:t>
      </w:r>
      <w:r>
        <w:rPr>
          <w:rFonts w:hint="eastAsia" w:ascii="TimesNewRoman" w:hAnsi="TimesNewRoman" w:eastAsia="仿宋_GB2312" w:cs="TimesNewRoman"/>
          <w:color w:val="auto"/>
          <w:kern w:val="0"/>
          <w:sz w:val="32"/>
          <w:szCs w:val="32"/>
        </w:rPr>
        <w:t>万元，占</w:t>
      </w:r>
      <w:r>
        <w:rPr>
          <w:rFonts w:hint="eastAsia" w:ascii="TimesNewRoman" w:hAnsi="TimesNewRoman" w:eastAsia="仿宋_GB2312" w:cs="TimesNewRoman"/>
          <w:color w:val="auto"/>
          <w:kern w:val="0"/>
          <w:sz w:val="32"/>
          <w:szCs w:val="32"/>
          <w:lang w:val="en-US" w:eastAsia="zh-CN"/>
        </w:rPr>
        <w:t>24.63</w:t>
      </w:r>
      <w:r>
        <w:rPr>
          <w:rFonts w:hint="eastAsia" w:ascii="TimesNewRoman" w:hAnsi="TimesNewRoman" w:eastAsia="仿宋_GB2312" w:cs="TimesNewRoman"/>
          <w:color w:val="auto"/>
          <w:kern w:val="0"/>
          <w:sz w:val="32"/>
          <w:szCs w:val="32"/>
        </w:rPr>
        <w:t>%；住房保障支出</w:t>
      </w:r>
      <w:r>
        <w:rPr>
          <w:rFonts w:hint="eastAsia" w:ascii="TimesNewRoman" w:hAnsi="TimesNewRoman" w:eastAsia="仿宋_GB2312" w:cs="TimesNewRoman"/>
          <w:color w:val="auto"/>
          <w:kern w:val="0"/>
          <w:sz w:val="32"/>
          <w:szCs w:val="32"/>
          <w:lang w:val="en-US" w:eastAsia="zh-CN"/>
        </w:rPr>
        <w:t>5.83</w:t>
      </w:r>
      <w:r>
        <w:rPr>
          <w:rFonts w:hint="eastAsia" w:ascii="TimesNewRoman" w:hAnsi="TimesNewRoman" w:eastAsia="仿宋_GB2312" w:cs="TimesNewRoman"/>
          <w:color w:val="auto"/>
          <w:kern w:val="0"/>
          <w:sz w:val="32"/>
          <w:szCs w:val="32"/>
        </w:rPr>
        <w:t>万元，占</w:t>
      </w:r>
      <w:r>
        <w:rPr>
          <w:rFonts w:hint="eastAsia" w:ascii="TimesNewRoman" w:hAnsi="TimesNewRoman" w:eastAsia="仿宋_GB2312" w:cs="TimesNewRoman"/>
          <w:color w:val="auto"/>
          <w:kern w:val="0"/>
          <w:sz w:val="32"/>
          <w:szCs w:val="32"/>
          <w:lang w:val="en-US" w:eastAsia="zh-CN"/>
        </w:rPr>
        <w:t>5.43</w:t>
      </w:r>
      <w:r>
        <w:rPr>
          <w:rFonts w:hint="eastAsia" w:ascii="TimesNewRoman" w:hAnsi="TimesNewRoman" w:eastAsia="仿宋_GB2312" w:cs="TimesNewRoman"/>
          <w:color w:val="auto"/>
          <w:kern w:val="0"/>
          <w:sz w:val="32"/>
          <w:szCs w:val="32"/>
        </w:rPr>
        <w:t>%；</w:t>
      </w:r>
      <w:r>
        <w:rPr>
          <w:rFonts w:hint="eastAsia" w:ascii="TimesNewRoman" w:hAnsi="TimesNewRoman" w:eastAsia="仿宋_GB2312" w:cs="TimesNewRoman"/>
          <w:color w:val="auto"/>
          <w:sz w:val="32"/>
          <w:szCs w:val="32"/>
          <w:lang w:eastAsia="zh-CN"/>
        </w:rPr>
        <w:t>粮油物资储备支出</w:t>
      </w:r>
      <w:r>
        <w:rPr>
          <w:rFonts w:hint="eastAsia" w:ascii="TimesNewRoman" w:hAnsi="TimesNewRoman" w:eastAsia="仿宋_GB2312" w:cs="TimesNewRoman"/>
          <w:color w:val="auto"/>
          <w:kern w:val="0"/>
          <w:sz w:val="32"/>
          <w:szCs w:val="32"/>
          <w:lang w:val="en-US" w:eastAsia="zh-CN"/>
        </w:rPr>
        <w:t>0.17</w:t>
      </w:r>
      <w:r>
        <w:rPr>
          <w:rFonts w:hint="eastAsia" w:ascii="TimesNewRoman" w:hAnsi="TimesNewRoman" w:eastAsia="仿宋_GB2312" w:cs="TimesNewRoman"/>
          <w:color w:val="auto"/>
          <w:kern w:val="0"/>
          <w:sz w:val="32"/>
          <w:szCs w:val="32"/>
        </w:rPr>
        <w:t>万元，占</w:t>
      </w:r>
      <w:r>
        <w:rPr>
          <w:rFonts w:hint="eastAsia" w:ascii="TimesNewRoman" w:hAnsi="TimesNewRoman" w:eastAsia="仿宋_GB2312" w:cs="TimesNewRoman"/>
          <w:color w:val="auto"/>
          <w:kern w:val="0"/>
          <w:sz w:val="32"/>
          <w:szCs w:val="32"/>
          <w:lang w:val="en-US" w:eastAsia="zh-CN"/>
        </w:rPr>
        <w:t>0.16</w:t>
      </w:r>
      <w:r>
        <w:rPr>
          <w:rFonts w:hint="eastAsia" w:ascii="TimesNewRoman" w:hAnsi="TimesNewRoman" w:eastAsia="仿宋_GB2312" w:cs="TimesNewRoman"/>
          <w:color w:val="auto"/>
          <w:kern w:val="0"/>
          <w:sz w:val="32"/>
          <w:szCs w:val="32"/>
        </w:rPr>
        <w:t>%。</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五、关于2024年一般公共预算支出表的说明</w:t>
      </w:r>
    </w:p>
    <w:p>
      <w:pPr>
        <w:pStyle w:val="7"/>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地价管理所</w:t>
      </w:r>
      <w:r>
        <w:rPr>
          <w:rFonts w:hint="eastAsia" w:ascii="TimesNewRoman" w:hAnsi="TimesNewRoman" w:eastAsia="仿宋_GB2312" w:cs="TimesNewRoman"/>
          <w:kern w:val="0"/>
          <w:sz w:val="32"/>
          <w:szCs w:val="32"/>
        </w:rPr>
        <w:t>2024年一般公共预算支出</w:t>
      </w:r>
      <w:r>
        <w:rPr>
          <w:rFonts w:hint="eastAsia" w:ascii="TimesNewRoman" w:hAnsi="TimesNewRoman" w:eastAsia="仿宋_GB2312" w:cs="TimesNewRoman"/>
          <w:kern w:val="0"/>
          <w:sz w:val="32"/>
          <w:szCs w:val="32"/>
          <w:lang w:val="en-US" w:eastAsia="zh-CN"/>
        </w:rPr>
        <w:t>42.63</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0.22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0.52</w:t>
      </w:r>
      <w:r>
        <w:rPr>
          <w:rFonts w:hint="eastAsia" w:ascii="TimesNewRoman" w:hAnsi="TimesNewRoman" w:eastAsia="仿宋_GB2312" w:cs="TimesNewRoman"/>
          <w:kern w:val="0"/>
          <w:sz w:val="32"/>
          <w:szCs w:val="32"/>
        </w:rPr>
        <w:t>%，主要原因：</w:t>
      </w:r>
      <w:r>
        <w:rPr>
          <w:rFonts w:hint="eastAsia" w:ascii="TimesNewRoman" w:hAnsi="TimesNewRoman" w:eastAsia="仿宋_GB2312" w:cs="TimesNewRoman"/>
          <w:color w:val="auto"/>
          <w:kern w:val="0"/>
          <w:sz w:val="32"/>
          <w:szCs w:val="32"/>
          <w:lang w:eastAsia="zh-CN"/>
        </w:rPr>
        <w:t>人员经费调整</w:t>
      </w:r>
      <w:r>
        <w:rPr>
          <w:rFonts w:hint="eastAsia" w:ascii="TimesNewRoman" w:hAnsi="TimesNewRoman" w:eastAsia="仿宋_GB2312" w:cs="TimesNewRoman"/>
          <w:color w:val="auto"/>
          <w:kern w:val="0"/>
          <w:sz w:val="32"/>
          <w:szCs w:val="32"/>
        </w:rPr>
        <w:t>。</w:t>
      </w:r>
    </w:p>
    <w:p>
      <w:pPr>
        <w:pStyle w:val="7"/>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960" w:firstLineChars="300"/>
        <w:rPr>
          <w:rFonts w:ascii="TimesNewRoman" w:hAnsi="TimesNewRoman" w:eastAsia="仿宋_GB2312" w:cs="TimesNewRoman"/>
          <w:color w:val="auto"/>
          <w:kern w:val="0"/>
          <w:sz w:val="32"/>
          <w:szCs w:val="32"/>
        </w:rPr>
      </w:pPr>
      <w:r>
        <w:rPr>
          <w:rFonts w:hint="eastAsia" w:ascii="TimesNewRoman" w:hAnsi="TimesNewRoman" w:eastAsia="仿宋_GB2312" w:cs="TimesNewRoman"/>
          <w:color w:val="auto"/>
          <w:kern w:val="0"/>
          <w:sz w:val="32"/>
          <w:szCs w:val="32"/>
        </w:rPr>
        <w:t>社会保障和就业支出</w:t>
      </w:r>
      <w:r>
        <w:rPr>
          <w:rFonts w:hint="eastAsia" w:ascii="TimesNewRoman" w:hAnsi="TimesNewRoman" w:eastAsia="仿宋_GB2312" w:cs="TimesNewRoman"/>
          <w:color w:val="auto"/>
          <w:kern w:val="0"/>
          <w:sz w:val="32"/>
          <w:szCs w:val="32"/>
          <w:lang w:val="en-US" w:eastAsia="zh-CN"/>
        </w:rPr>
        <w:t>8.29</w:t>
      </w:r>
      <w:r>
        <w:rPr>
          <w:rFonts w:hint="eastAsia" w:ascii="TimesNewRoman" w:hAnsi="TimesNewRoman" w:eastAsia="仿宋_GB2312" w:cs="TimesNewRoman"/>
          <w:color w:val="auto"/>
          <w:kern w:val="0"/>
          <w:sz w:val="32"/>
          <w:szCs w:val="32"/>
        </w:rPr>
        <w:t>万元，占</w:t>
      </w:r>
      <w:r>
        <w:rPr>
          <w:rFonts w:hint="eastAsia" w:ascii="TimesNewRoman" w:hAnsi="TimesNewRoman" w:eastAsia="仿宋_GB2312" w:cs="TimesNewRoman"/>
          <w:color w:val="auto"/>
          <w:kern w:val="0"/>
          <w:sz w:val="32"/>
          <w:szCs w:val="32"/>
          <w:lang w:val="en-US" w:eastAsia="zh-CN"/>
        </w:rPr>
        <w:t>19.44</w:t>
      </w:r>
      <w:r>
        <w:rPr>
          <w:rFonts w:hint="eastAsia" w:ascii="TimesNewRoman" w:hAnsi="TimesNewRoman" w:eastAsia="仿宋_GB2312" w:cs="TimesNewRoman"/>
          <w:color w:val="auto"/>
          <w:kern w:val="0"/>
          <w:sz w:val="32"/>
          <w:szCs w:val="32"/>
        </w:rPr>
        <w:t>%；卫生健康支出</w:t>
      </w:r>
      <w:r>
        <w:rPr>
          <w:rFonts w:hint="eastAsia" w:ascii="TimesNewRoman" w:hAnsi="TimesNewRoman" w:eastAsia="仿宋_GB2312" w:cs="TimesNewRoman"/>
          <w:color w:val="auto"/>
          <w:kern w:val="0"/>
          <w:sz w:val="32"/>
          <w:szCs w:val="32"/>
          <w:lang w:val="en-US" w:eastAsia="zh-CN"/>
        </w:rPr>
        <w:t>1.90</w:t>
      </w:r>
      <w:r>
        <w:rPr>
          <w:rFonts w:hint="eastAsia" w:ascii="TimesNewRoman" w:hAnsi="TimesNewRoman" w:eastAsia="仿宋_GB2312" w:cs="TimesNewRoman"/>
          <w:color w:val="auto"/>
          <w:kern w:val="0"/>
          <w:sz w:val="32"/>
          <w:szCs w:val="32"/>
        </w:rPr>
        <w:t>万元，占</w:t>
      </w:r>
      <w:r>
        <w:rPr>
          <w:rFonts w:hint="eastAsia" w:ascii="TimesNewRoman" w:hAnsi="TimesNewRoman" w:eastAsia="仿宋_GB2312" w:cs="TimesNewRoman"/>
          <w:color w:val="auto"/>
          <w:kern w:val="0"/>
          <w:sz w:val="32"/>
          <w:szCs w:val="32"/>
          <w:lang w:val="en-US" w:eastAsia="zh-CN"/>
        </w:rPr>
        <w:t>4.45</w:t>
      </w:r>
      <w:r>
        <w:rPr>
          <w:rFonts w:hint="eastAsia" w:ascii="TimesNewRoman" w:hAnsi="TimesNewRoman" w:eastAsia="仿宋_GB2312" w:cs="TimesNewRoman"/>
          <w:color w:val="auto"/>
          <w:kern w:val="0"/>
          <w:sz w:val="32"/>
          <w:szCs w:val="32"/>
        </w:rPr>
        <w:t>%；</w:t>
      </w:r>
      <w:r>
        <w:rPr>
          <w:rFonts w:hint="eastAsia" w:ascii="TimesNewRoman" w:hAnsi="TimesNewRoman" w:eastAsia="仿宋_GB2312" w:cs="TimesNewRoman"/>
          <w:color w:val="auto"/>
          <w:sz w:val="32"/>
          <w:szCs w:val="32"/>
          <w:lang w:eastAsia="zh-CN"/>
        </w:rPr>
        <w:t>自然资源海洋气象等支出</w:t>
      </w:r>
      <w:r>
        <w:rPr>
          <w:rFonts w:hint="eastAsia" w:ascii="TimesNewRoman" w:hAnsi="TimesNewRoman" w:eastAsia="仿宋_GB2312" w:cs="TimesNewRoman"/>
          <w:color w:val="auto"/>
          <w:kern w:val="0"/>
          <w:sz w:val="32"/>
          <w:szCs w:val="32"/>
          <w:lang w:val="en-US" w:eastAsia="zh-CN"/>
        </w:rPr>
        <w:t>26.44</w:t>
      </w:r>
      <w:r>
        <w:rPr>
          <w:rFonts w:hint="eastAsia" w:ascii="TimesNewRoman" w:hAnsi="TimesNewRoman" w:eastAsia="仿宋_GB2312" w:cs="TimesNewRoman"/>
          <w:color w:val="auto"/>
          <w:kern w:val="0"/>
          <w:sz w:val="32"/>
          <w:szCs w:val="32"/>
        </w:rPr>
        <w:t>万元，占</w:t>
      </w:r>
      <w:r>
        <w:rPr>
          <w:rFonts w:hint="eastAsia" w:ascii="TimesNewRoman" w:hAnsi="TimesNewRoman" w:eastAsia="仿宋_GB2312" w:cs="TimesNewRoman"/>
          <w:color w:val="auto"/>
          <w:kern w:val="0"/>
          <w:sz w:val="32"/>
          <w:szCs w:val="32"/>
          <w:lang w:val="en-US" w:eastAsia="zh-CN"/>
        </w:rPr>
        <w:t>62.04</w:t>
      </w:r>
      <w:r>
        <w:rPr>
          <w:rFonts w:hint="eastAsia" w:ascii="TimesNewRoman" w:hAnsi="TimesNewRoman" w:eastAsia="仿宋_GB2312" w:cs="TimesNewRoman"/>
          <w:color w:val="auto"/>
          <w:kern w:val="0"/>
          <w:sz w:val="32"/>
          <w:szCs w:val="32"/>
        </w:rPr>
        <w:t>%；住房保障支出</w:t>
      </w:r>
      <w:r>
        <w:rPr>
          <w:rFonts w:hint="eastAsia" w:ascii="TimesNewRoman" w:hAnsi="TimesNewRoman" w:eastAsia="仿宋_GB2312" w:cs="TimesNewRoman"/>
          <w:color w:val="auto"/>
          <w:kern w:val="0"/>
          <w:sz w:val="32"/>
          <w:szCs w:val="32"/>
          <w:lang w:val="en-US" w:eastAsia="zh-CN"/>
        </w:rPr>
        <w:t>5.83</w:t>
      </w:r>
      <w:r>
        <w:rPr>
          <w:rFonts w:hint="eastAsia" w:ascii="TimesNewRoman" w:hAnsi="TimesNewRoman" w:eastAsia="仿宋_GB2312" w:cs="TimesNewRoman"/>
          <w:color w:val="auto"/>
          <w:kern w:val="0"/>
          <w:sz w:val="32"/>
          <w:szCs w:val="32"/>
        </w:rPr>
        <w:t>万元，占</w:t>
      </w:r>
      <w:r>
        <w:rPr>
          <w:rFonts w:hint="eastAsia" w:ascii="TimesNewRoman" w:hAnsi="TimesNewRoman" w:eastAsia="仿宋_GB2312" w:cs="TimesNewRoman"/>
          <w:color w:val="auto"/>
          <w:kern w:val="0"/>
          <w:sz w:val="32"/>
          <w:szCs w:val="32"/>
          <w:lang w:val="en-US" w:eastAsia="zh-CN"/>
        </w:rPr>
        <w:t>13.67</w:t>
      </w:r>
      <w:r>
        <w:rPr>
          <w:rFonts w:hint="eastAsia" w:ascii="TimesNewRoman" w:hAnsi="TimesNewRoman" w:eastAsia="仿宋_GB2312" w:cs="TimesNewRoman"/>
          <w:color w:val="auto"/>
          <w:kern w:val="0"/>
          <w:sz w:val="32"/>
          <w:szCs w:val="32"/>
        </w:rPr>
        <w:t>%；</w:t>
      </w:r>
      <w:r>
        <w:rPr>
          <w:rFonts w:hint="eastAsia" w:ascii="TimesNewRoman" w:hAnsi="TimesNewRoman" w:eastAsia="仿宋_GB2312" w:cs="TimesNewRoman"/>
          <w:color w:val="auto"/>
          <w:sz w:val="32"/>
          <w:szCs w:val="32"/>
          <w:lang w:eastAsia="zh-CN"/>
        </w:rPr>
        <w:t>粮油物资储备支出</w:t>
      </w:r>
      <w:r>
        <w:rPr>
          <w:rFonts w:hint="eastAsia" w:ascii="TimesNewRoman" w:hAnsi="TimesNewRoman" w:eastAsia="仿宋_GB2312" w:cs="TimesNewRoman"/>
          <w:color w:val="auto"/>
          <w:kern w:val="0"/>
          <w:sz w:val="32"/>
          <w:szCs w:val="32"/>
          <w:lang w:val="en-US" w:eastAsia="zh-CN"/>
        </w:rPr>
        <w:t>0.17</w:t>
      </w:r>
      <w:r>
        <w:rPr>
          <w:rFonts w:hint="eastAsia" w:ascii="TimesNewRoman" w:hAnsi="TimesNewRoman" w:eastAsia="仿宋_GB2312" w:cs="TimesNewRoman"/>
          <w:color w:val="auto"/>
          <w:kern w:val="0"/>
          <w:sz w:val="32"/>
          <w:szCs w:val="32"/>
        </w:rPr>
        <w:t>万元，占</w:t>
      </w:r>
      <w:r>
        <w:rPr>
          <w:rFonts w:hint="eastAsia" w:ascii="TimesNewRoman" w:hAnsi="TimesNewRoman" w:eastAsia="仿宋_GB2312" w:cs="TimesNewRoman"/>
          <w:color w:val="auto"/>
          <w:kern w:val="0"/>
          <w:sz w:val="32"/>
          <w:szCs w:val="32"/>
          <w:lang w:val="en-US" w:eastAsia="zh-CN"/>
        </w:rPr>
        <w:t>0.4</w:t>
      </w:r>
      <w:r>
        <w:rPr>
          <w:rFonts w:hint="eastAsia" w:ascii="TimesNewRoman" w:hAnsi="TimesNewRoman" w:eastAsia="仿宋_GB2312" w:cs="TimesNewRoman"/>
          <w:color w:val="auto"/>
          <w:kern w:val="0"/>
          <w:sz w:val="32"/>
          <w:szCs w:val="32"/>
        </w:rPr>
        <w:t>%。</w:t>
      </w:r>
    </w:p>
    <w:p>
      <w:pPr>
        <w:pStyle w:val="7"/>
        <w:adjustRightInd w:val="0"/>
        <w:snapToGrid w:val="0"/>
        <w:spacing w:line="560" w:lineRule="exact"/>
        <w:ind w:firstLine="643" w:firstLineChars="200"/>
        <w:rPr>
          <w:rFonts w:ascii="TimesNewRoman" w:hAnsi="TimesNewRoman" w:eastAsia="楷体_GB2312" w:cs="TimesNewRoman"/>
          <w:b/>
          <w:color w:val="000000" w:themeColor="text1"/>
          <w:sz w:val="32"/>
          <w:szCs w:val="32"/>
        </w:rPr>
      </w:pPr>
      <w:r>
        <w:rPr>
          <w:rFonts w:hint="eastAsia" w:ascii="TimesNewRoman" w:hAnsi="TimesNewRoman" w:eastAsia="楷体_GB2312" w:cs="TimesNewRoman"/>
          <w:b/>
          <w:color w:val="000000" w:themeColor="text1"/>
          <w:sz w:val="32"/>
          <w:szCs w:val="32"/>
        </w:rPr>
        <w:t>（三）一般公共预算支出具体使用情况。</w:t>
      </w:r>
    </w:p>
    <w:p>
      <w:pPr>
        <w:ind w:firstLine="640" w:firstLineChars="200"/>
        <w:rPr>
          <w:rFonts w:ascii="TimesNewRoman" w:hAnsi="TimesNewRoman" w:eastAsia="仿宋_GB2312" w:cs="TimesNewRoman"/>
          <w:color w:val="000000" w:themeColor="text1"/>
          <w:kern w:val="0"/>
          <w:sz w:val="32"/>
          <w:szCs w:val="32"/>
        </w:rPr>
      </w:pPr>
      <w:r>
        <w:rPr>
          <w:rFonts w:hint="eastAsia" w:ascii="TimesNewRoman" w:hAnsi="TimesNewRoman" w:eastAsia="仿宋_GB2312" w:cs="TimesNewRoman"/>
          <w:color w:val="000000" w:themeColor="text1"/>
          <w:kern w:val="0"/>
          <w:sz w:val="32"/>
          <w:szCs w:val="32"/>
          <w:lang w:val="en-US" w:eastAsia="zh-CN"/>
        </w:rPr>
        <w:t>1</w:t>
      </w:r>
      <w:r>
        <w:rPr>
          <w:rFonts w:hint="eastAsia" w:ascii="TimesNewRoman" w:hAnsi="TimesNewRoman" w:eastAsia="仿宋_GB2312" w:cs="TimesNewRoman"/>
          <w:color w:val="000000" w:themeColor="text1"/>
          <w:kern w:val="0"/>
          <w:sz w:val="32"/>
          <w:szCs w:val="32"/>
        </w:rPr>
        <w:t>、</w:t>
      </w:r>
      <w:r>
        <w:rPr>
          <w:rFonts w:hint="eastAsia" w:ascii="仿宋_GB2312" w:hAnsi="仿宋" w:eastAsia="仿宋_GB2312"/>
          <w:b/>
          <w:bCs/>
          <w:color w:val="000000" w:themeColor="text1"/>
          <w:sz w:val="32"/>
          <w:szCs w:val="32"/>
        </w:rPr>
        <w:t>社会保障和就业支出（类）行政事业单位养老支出（款）事业单位离退休（项）</w:t>
      </w:r>
      <w:r>
        <w:rPr>
          <w:rFonts w:hint="eastAsia" w:ascii="TimesNewRoman" w:hAnsi="TimesNewRoman" w:eastAsia="仿宋_GB2312" w:cs="TimesNewRoman"/>
          <w:color w:val="000000" w:themeColor="text1"/>
          <w:kern w:val="0"/>
          <w:sz w:val="32"/>
          <w:szCs w:val="32"/>
        </w:rPr>
        <w:t>202</w:t>
      </w:r>
      <w:r>
        <w:rPr>
          <w:rFonts w:hint="eastAsia" w:ascii="TimesNewRoman" w:hAnsi="TimesNewRoman" w:eastAsia="仿宋_GB2312" w:cs="TimesNewRoman"/>
          <w:color w:val="000000" w:themeColor="text1"/>
          <w:kern w:val="0"/>
          <w:sz w:val="32"/>
          <w:szCs w:val="32"/>
          <w:lang w:val="en-US" w:eastAsia="zh-CN"/>
        </w:rPr>
        <w:t>4</w:t>
      </w:r>
      <w:r>
        <w:rPr>
          <w:rFonts w:hint="eastAsia" w:ascii="TimesNewRoman" w:hAnsi="TimesNewRoman" w:eastAsia="仿宋_GB2312" w:cs="TimesNewRoman"/>
          <w:color w:val="000000" w:themeColor="text1"/>
          <w:kern w:val="0"/>
          <w:sz w:val="32"/>
          <w:szCs w:val="32"/>
        </w:rPr>
        <w:t>年预算</w:t>
      </w:r>
      <w:r>
        <w:rPr>
          <w:rFonts w:hint="eastAsia" w:ascii="TimesNewRoman" w:hAnsi="TimesNewRoman" w:eastAsia="仿宋_GB2312" w:cs="TimesNewRoman"/>
          <w:color w:val="000000" w:themeColor="text1"/>
          <w:kern w:val="0"/>
          <w:sz w:val="32"/>
          <w:szCs w:val="32"/>
          <w:lang w:val="en-US" w:eastAsia="zh-CN"/>
        </w:rPr>
        <w:t>3.33</w:t>
      </w:r>
      <w:r>
        <w:rPr>
          <w:rFonts w:hint="eastAsia" w:ascii="TimesNewRoman" w:hAnsi="TimesNewRoman" w:eastAsia="仿宋_GB2312" w:cs="TimesNewRoman"/>
          <w:color w:val="000000" w:themeColor="text1"/>
          <w:kern w:val="0"/>
          <w:sz w:val="32"/>
          <w:szCs w:val="32"/>
        </w:rPr>
        <w:t>万元，比202</w:t>
      </w:r>
      <w:r>
        <w:rPr>
          <w:rFonts w:hint="eastAsia" w:ascii="TimesNewRoman" w:hAnsi="TimesNewRoman" w:eastAsia="仿宋_GB2312" w:cs="TimesNewRoman"/>
          <w:color w:val="000000" w:themeColor="text1"/>
          <w:kern w:val="0"/>
          <w:sz w:val="32"/>
          <w:szCs w:val="32"/>
          <w:lang w:val="en-US" w:eastAsia="zh-CN"/>
        </w:rPr>
        <w:t>3</w:t>
      </w:r>
      <w:r>
        <w:rPr>
          <w:rFonts w:hint="eastAsia" w:ascii="TimesNewRoman" w:hAnsi="TimesNewRoman" w:eastAsia="仿宋_GB2312" w:cs="TimesNewRoman"/>
          <w:color w:val="000000" w:themeColor="text1"/>
          <w:kern w:val="0"/>
          <w:sz w:val="32"/>
          <w:szCs w:val="32"/>
        </w:rPr>
        <w:t>年预算</w:t>
      </w:r>
      <w:r>
        <w:rPr>
          <w:rFonts w:hint="eastAsia" w:ascii="TimesNewRoman" w:hAnsi="TimesNewRoman" w:eastAsia="仿宋_GB2312" w:cs="TimesNewRoman"/>
          <w:color w:val="000000" w:themeColor="text1"/>
          <w:kern w:val="0"/>
          <w:sz w:val="32"/>
          <w:szCs w:val="32"/>
          <w:lang w:eastAsia="zh-CN"/>
        </w:rPr>
        <w:t>增加</w:t>
      </w:r>
      <w:r>
        <w:rPr>
          <w:rFonts w:hint="eastAsia" w:ascii="TimesNewRoman" w:hAnsi="TimesNewRoman" w:eastAsia="仿宋_GB2312" w:cs="TimesNewRoman"/>
          <w:color w:val="000000" w:themeColor="text1"/>
          <w:kern w:val="0"/>
          <w:sz w:val="32"/>
          <w:szCs w:val="32"/>
          <w:lang w:val="en-US" w:eastAsia="zh-CN"/>
        </w:rPr>
        <w:t>0.3</w:t>
      </w:r>
      <w:r>
        <w:rPr>
          <w:rFonts w:hint="eastAsia" w:ascii="TimesNewRoman" w:hAnsi="TimesNewRoman" w:eastAsia="仿宋_GB2312" w:cs="TimesNewRoman"/>
          <w:color w:val="000000" w:themeColor="text1"/>
          <w:kern w:val="0"/>
          <w:sz w:val="32"/>
          <w:szCs w:val="32"/>
        </w:rPr>
        <w:t>万</w:t>
      </w:r>
      <w:r>
        <w:rPr>
          <w:rFonts w:hint="eastAsia" w:ascii="TimesNewRoman" w:hAnsi="TimesNewRoman" w:eastAsia="仿宋_GB2312" w:cs="TimesNewRoman"/>
          <w:color w:val="000000" w:themeColor="text1"/>
          <w:kern w:val="0"/>
          <w:sz w:val="32"/>
          <w:szCs w:val="32"/>
          <w:lang w:eastAsia="zh-CN"/>
        </w:rPr>
        <w:t>元，增加</w:t>
      </w:r>
      <w:r>
        <w:rPr>
          <w:rFonts w:hint="eastAsia" w:ascii="TimesNewRoman" w:hAnsi="TimesNewRoman" w:eastAsia="仿宋_GB2312" w:cs="TimesNewRoman"/>
          <w:color w:val="000000" w:themeColor="text1"/>
          <w:kern w:val="0"/>
          <w:sz w:val="32"/>
          <w:szCs w:val="32"/>
          <w:lang w:val="en-US" w:eastAsia="zh-CN"/>
        </w:rPr>
        <w:t>9.9</w:t>
      </w:r>
      <w:r>
        <w:rPr>
          <w:rFonts w:hint="eastAsia" w:ascii="TimesNewRoman" w:hAnsi="TimesNewRoman" w:eastAsia="仿宋_GB2312" w:cs="TimesNewRoman"/>
          <w:color w:val="000000" w:themeColor="text1"/>
          <w:kern w:val="0"/>
          <w:sz w:val="32"/>
          <w:szCs w:val="32"/>
          <w:lang w:eastAsia="zh-CN"/>
        </w:rPr>
        <w:t>%，原因主要是</w:t>
      </w:r>
      <w:r>
        <w:rPr>
          <w:rFonts w:hint="eastAsia" w:ascii="TimesNewRoman" w:hAnsi="TimesNewRoman" w:eastAsia="仿宋_GB2312" w:cs="TimesNewRoman"/>
          <w:color w:val="auto"/>
          <w:kern w:val="0"/>
          <w:sz w:val="32"/>
          <w:szCs w:val="32"/>
          <w:lang w:eastAsia="zh-CN"/>
        </w:rPr>
        <w:t>人员经费调整</w:t>
      </w:r>
      <w:r>
        <w:rPr>
          <w:rFonts w:hint="eastAsia" w:ascii="TimesNewRoman" w:hAnsi="TimesNewRoman" w:eastAsia="仿宋_GB2312" w:cs="TimesNewRoman"/>
          <w:color w:val="000000" w:themeColor="text1"/>
          <w:kern w:val="0"/>
          <w:sz w:val="32"/>
          <w:szCs w:val="32"/>
          <w:lang w:eastAsia="zh-CN"/>
        </w:rPr>
        <w:t>。</w:t>
      </w:r>
    </w:p>
    <w:p>
      <w:pPr>
        <w:adjustRightInd w:val="0"/>
        <w:snapToGrid w:val="0"/>
        <w:spacing w:line="600" w:lineRule="exact"/>
        <w:ind w:firstLine="643" w:firstLineChars="200"/>
        <w:rPr>
          <w:rFonts w:hint="eastAsia" w:ascii="TimesNewRoman" w:hAnsi="TimesNewRoman" w:eastAsia="仿宋_GB2312" w:cs="TimesNewRoman"/>
          <w:color w:val="000000" w:themeColor="text1"/>
          <w:kern w:val="0"/>
          <w:sz w:val="32"/>
          <w:szCs w:val="32"/>
          <w:lang w:eastAsia="zh-CN"/>
        </w:rPr>
      </w:pPr>
      <w:r>
        <w:rPr>
          <w:rFonts w:hint="eastAsia" w:ascii="仿宋_GB2312" w:hAnsi="仿宋" w:eastAsia="仿宋_GB2312"/>
          <w:b/>
          <w:color w:val="000000" w:themeColor="text1"/>
          <w:sz w:val="32"/>
          <w:szCs w:val="32"/>
          <w:lang w:val="en-US" w:eastAsia="zh-CN"/>
        </w:rPr>
        <w:t>2</w:t>
      </w:r>
      <w:r>
        <w:rPr>
          <w:rFonts w:hint="eastAsia" w:ascii="仿宋_GB2312" w:hAnsi="仿宋" w:eastAsia="仿宋_GB2312"/>
          <w:b/>
          <w:color w:val="000000" w:themeColor="text1"/>
          <w:sz w:val="32"/>
          <w:szCs w:val="32"/>
        </w:rPr>
        <w:t>.</w:t>
      </w:r>
      <w:r>
        <w:rPr>
          <w:rFonts w:hint="eastAsia" w:ascii="仿宋_GB2312" w:hAnsi="仿宋" w:eastAsia="仿宋_GB2312"/>
          <w:b/>
          <w:bCs/>
          <w:color w:val="000000" w:themeColor="text1"/>
          <w:sz w:val="32"/>
          <w:szCs w:val="32"/>
        </w:rPr>
        <w:t>社会保障和就业支出</w:t>
      </w:r>
      <w:r>
        <w:rPr>
          <w:rFonts w:hint="eastAsia" w:ascii="仿宋_GB2312" w:hAnsi="仿宋" w:eastAsia="仿宋_GB2312"/>
          <w:b/>
          <w:color w:val="000000" w:themeColor="text1"/>
          <w:sz w:val="32"/>
          <w:szCs w:val="32"/>
        </w:rPr>
        <w:t>（类）行政事业单位养老支出（款）机关事业单位基本养老保险缴费支出（项）</w:t>
      </w:r>
      <w:r>
        <w:rPr>
          <w:rFonts w:hint="eastAsia" w:ascii="TimesNewRoman" w:hAnsi="TimesNewRoman" w:eastAsia="仿宋_GB2312" w:cs="TimesNewRoman"/>
          <w:color w:val="000000" w:themeColor="text1"/>
          <w:kern w:val="0"/>
          <w:sz w:val="32"/>
          <w:szCs w:val="32"/>
          <w:lang w:eastAsia="zh-CN"/>
        </w:rPr>
        <w:t>202</w:t>
      </w:r>
      <w:r>
        <w:rPr>
          <w:rFonts w:hint="eastAsia" w:ascii="TimesNewRoman" w:hAnsi="TimesNewRoman" w:eastAsia="仿宋_GB2312" w:cs="TimesNewRoman"/>
          <w:color w:val="000000" w:themeColor="text1"/>
          <w:kern w:val="0"/>
          <w:sz w:val="32"/>
          <w:szCs w:val="32"/>
          <w:lang w:val="en-US" w:eastAsia="zh-CN"/>
        </w:rPr>
        <w:t>4</w:t>
      </w:r>
      <w:r>
        <w:rPr>
          <w:rFonts w:hint="eastAsia" w:ascii="TimesNewRoman" w:hAnsi="TimesNewRoman" w:eastAsia="仿宋_GB2312" w:cs="TimesNewRoman"/>
          <w:color w:val="000000" w:themeColor="text1"/>
          <w:kern w:val="0"/>
          <w:sz w:val="32"/>
          <w:szCs w:val="32"/>
          <w:lang w:eastAsia="zh-CN"/>
        </w:rPr>
        <w:t>年预算</w:t>
      </w:r>
      <w:r>
        <w:rPr>
          <w:rFonts w:hint="eastAsia" w:ascii="TimesNewRoman" w:hAnsi="TimesNewRoman" w:eastAsia="仿宋_GB2312" w:cs="TimesNewRoman"/>
          <w:color w:val="000000" w:themeColor="text1"/>
          <w:kern w:val="0"/>
          <w:sz w:val="32"/>
          <w:szCs w:val="32"/>
          <w:lang w:val="en-US" w:eastAsia="zh-CN"/>
        </w:rPr>
        <w:t>3.24</w:t>
      </w:r>
      <w:r>
        <w:rPr>
          <w:rFonts w:hint="eastAsia" w:ascii="TimesNewRoman" w:hAnsi="TimesNewRoman" w:eastAsia="仿宋_GB2312" w:cs="TimesNewRoman"/>
          <w:color w:val="000000" w:themeColor="text1"/>
          <w:kern w:val="0"/>
          <w:sz w:val="32"/>
          <w:szCs w:val="32"/>
          <w:lang w:eastAsia="zh-CN"/>
        </w:rPr>
        <w:t>万元，比202</w:t>
      </w:r>
      <w:r>
        <w:rPr>
          <w:rFonts w:hint="eastAsia" w:ascii="TimesNewRoman" w:hAnsi="TimesNewRoman" w:eastAsia="仿宋_GB2312" w:cs="TimesNewRoman"/>
          <w:color w:val="000000" w:themeColor="text1"/>
          <w:kern w:val="0"/>
          <w:sz w:val="32"/>
          <w:szCs w:val="32"/>
          <w:lang w:val="en-US" w:eastAsia="zh-CN"/>
        </w:rPr>
        <w:t>3</w:t>
      </w:r>
      <w:r>
        <w:rPr>
          <w:rFonts w:hint="eastAsia" w:ascii="TimesNewRoman" w:hAnsi="TimesNewRoman" w:eastAsia="仿宋_GB2312" w:cs="TimesNewRoman"/>
          <w:color w:val="000000" w:themeColor="text1"/>
          <w:kern w:val="0"/>
          <w:sz w:val="32"/>
          <w:szCs w:val="32"/>
          <w:lang w:eastAsia="zh-CN"/>
        </w:rPr>
        <w:t>年预算增加</w:t>
      </w:r>
      <w:r>
        <w:rPr>
          <w:rFonts w:hint="eastAsia" w:ascii="TimesNewRoman" w:hAnsi="TimesNewRoman" w:eastAsia="仿宋_GB2312" w:cs="TimesNewRoman"/>
          <w:color w:val="000000" w:themeColor="text1"/>
          <w:kern w:val="0"/>
          <w:sz w:val="32"/>
          <w:szCs w:val="32"/>
          <w:lang w:val="en-US" w:eastAsia="zh-CN"/>
        </w:rPr>
        <w:t>0.04</w:t>
      </w:r>
      <w:r>
        <w:rPr>
          <w:rFonts w:hint="eastAsia" w:ascii="TimesNewRoman" w:hAnsi="TimesNewRoman" w:eastAsia="仿宋_GB2312" w:cs="TimesNewRoman"/>
          <w:color w:val="000000" w:themeColor="text1"/>
          <w:kern w:val="0"/>
          <w:sz w:val="32"/>
          <w:szCs w:val="32"/>
          <w:lang w:eastAsia="zh-CN"/>
        </w:rPr>
        <w:t>万元，增加</w:t>
      </w:r>
      <w:r>
        <w:rPr>
          <w:rFonts w:hint="eastAsia" w:ascii="TimesNewRoman" w:hAnsi="TimesNewRoman" w:eastAsia="仿宋_GB2312" w:cs="TimesNewRoman"/>
          <w:color w:val="000000" w:themeColor="text1"/>
          <w:kern w:val="0"/>
          <w:sz w:val="32"/>
          <w:szCs w:val="32"/>
          <w:lang w:val="en-US" w:eastAsia="zh-CN"/>
        </w:rPr>
        <w:t>1.25</w:t>
      </w:r>
      <w:r>
        <w:rPr>
          <w:rFonts w:hint="eastAsia" w:ascii="TimesNewRoman" w:hAnsi="TimesNewRoman" w:eastAsia="仿宋_GB2312" w:cs="TimesNewRoman"/>
          <w:color w:val="000000" w:themeColor="text1"/>
          <w:kern w:val="0"/>
          <w:sz w:val="32"/>
          <w:szCs w:val="32"/>
          <w:lang w:eastAsia="zh-CN"/>
        </w:rPr>
        <w:t>%，原因主要是</w:t>
      </w:r>
      <w:r>
        <w:rPr>
          <w:rFonts w:hint="eastAsia" w:ascii="TimesNewRoman" w:hAnsi="TimesNewRoman" w:eastAsia="仿宋_GB2312" w:cs="TimesNewRoman"/>
          <w:color w:val="auto"/>
          <w:kern w:val="0"/>
          <w:sz w:val="32"/>
          <w:szCs w:val="32"/>
          <w:lang w:eastAsia="zh-CN"/>
        </w:rPr>
        <w:t>人员经费调整</w:t>
      </w:r>
      <w:r>
        <w:rPr>
          <w:rFonts w:hint="eastAsia" w:ascii="TimesNewRoman" w:hAnsi="TimesNewRoman" w:eastAsia="仿宋_GB2312" w:cs="TimesNewRoman"/>
          <w:color w:val="000000" w:themeColor="text1"/>
          <w:kern w:val="0"/>
          <w:sz w:val="32"/>
          <w:szCs w:val="32"/>
          <w:lang w:eastAsia="zh-CN"/>
        </w:rPr>
        <w:t>。</w:t>
      </w:r>
    </w:p>
    <w:p>
      <w:pPr>
        <w:adjustRightInd w:val="0"/>
        <w:snapToGrid w:val="0"/>
        <w:spacing w:line="600" w:lineRule="exact"/>
        <w:ind w:firstLine="643" w:firstLineChars="200"/>
        <w:rPr>
          <w:rFonts w:hint="eastAsia" w:ascii="TimesNewRoman" w:hAnsi="TimesNewRoman" w:eastAsia="仿宋_GB2312" w:cs="TimesNewRoman"/>
          <w:color w:val="000000" w:themeColor="text1"/>
          <w:kern w:val="0"/>
          <w:sz w:val="32"/>
          <w:szCs w:val="32"/>
          <w:lang w:eastAsia="zh-CN"/>
        </w:rPr>
      </w:pPr>
      <w:r>
        <w:rPr>
          <w:rFonts w:hint="eastAsia" w:ascii="仿宋_GB2312" w:hAnsi="仿宋" w:eastAsia="仿宋_GB2312"/>
          <w:b/>
          <w:color w:val="000000" w:themeColor="text1"/>
          <w:sz w:val="32"/>
          <w:szCs w:val="32"/>
          <w:lang w:val="en-US" w:eastAsia="zh-CN"/>
        </w:rPr>
        <w:t>3</w:t>
      </w:r>
      <w:r>
        <w:rPr>
          <w:rFonts w:hint="eastAsia" w:ascii="仿宋_GB2312" w:hAnsi="仿宋" w:eastAsia="仿宋_GB2312"/>
          <w:b/>
          <w:color w:val="000000" w:themeColor="text1"/>
          <w:sz w:val="32"/>
          <w:szCs w:val="32"/>
        </w:rPr>
        <w:t>.</w:t>
      </w:r>
      <w:r>
        <w:rPr>
          <w:rFonts w:hint="eastAsia" w:ascii="仿宋_GB2312" w:hAnsi="仿宋" w:eastAsia="仿宋_GB2312"/>
          <w:b/>
          <w:bCs/>
          <w:color w:val="000000" w:themeColor="text1"/>
          <w:sz w:val="32"/>
          <w:szCs w:val="32"/>
        </w:rPr>
        <w:t>社会保障和就业支出</w:t>
      </w:r>
      <w:r>
        <w:rPr>
          <w:rFonts w:hint="eastAsia" w:ascii="仿宋_GB2312" w:hAnsi="仿宋" w:eastAsia="仿宋_GB2312"/>
          <w:b/>
          <w:color w:val="000000" w:themeColor="text1"/>
          <w:sz w:val="32"/>
          <w:szCs w:val="32"/>
        </w:rPr>
        <w:t>（类）行政事业单位养老支出（款）机关事业单位职业年金缴费支出（项）</w:t>
      </w:r>
      <w:r>
        <w:rPr>
          <w:rFonts w:hint="eastAsia" w:ascii="TimesNewRoman" w:hAnsi="TimesNewRoman" w:eastAsia="仿宋_GB2312" w:cs="TimesNewRoman"/>
          <w:color w:val="000000" w:themeColor="text1"/>
          <w:kern w:val="0"/>
          <w:sz w:val="32"/>
          <w:szCs w:val="32"/>
          <w:lang w:eastAsia="zh-CN"/>
        </w:rPr>
        <w:t>202</w:t>
      </w:r>
      <w:r>
        <w:rPr>
          <w:rFonts w:hint="eastAsia" w:ascii="TimesNewRoman" w:hAnsi="TimesNewRoman" w:eastAsia="仿宋_GB2312" w:cs="TimesNewRoman"/>
          <w:color w:val="000000" w:themeColor="text1"/>
          <w:kern w:val="0"/>
          <w:sz w:val="32"/>
          <w:szCs w:val="32"/>
          <w:lang w:val="en-US" w:eastAsia="zh-CN"/>
        </w:rPr>
        <w:t>4</w:t>
      </w:r>
      <w:r>
        <w:rPr>
          <w:rFonts w:hint="eastAsia" w:ascii="TimesNewRoman" w:hAnsi="TimesNewRoman" w:eastAsia="仿宋_GB2312" w:cs="TimesNewRoman"/>
          <w:color w:val="000000" w:themeColor="text1"/>
          <w:kern w:val="0"/>
          <w:sz w:val="32"/>
          <w:szCs w:val="32"/>
          <w:lang w:eastAsia="zh-CN"/>
        </w:rPr>
        <w:t>年预算</w:t>
      </w:r>
      <w:r>
        <w:rPr>
          <w:rFonts w:hint="eastAsia" w:ascii="TimesNewRoman" w:hAnsi="TimesNewRoman" w:eastAsia="仿宋_GB2312" w:cs="TimesNewRoman"/>
          <w:color w:val="000000" w:themeColor="text1"/>
          <w:kern w:val="0"/>
          <w:sz w:val="32"/>
          <w:szCs w:val="32"/>
          <w:lang w:val="en-US" w:eastAsia="zh-CN"/>
        </w:rPr>
        <w:t>1.62</w:t>
      </w:r>
      <w:r>
        <w:rPr>
          <w:rFonts w:hint="eastAsia" w:ascii="TimesNewRoman" w:hAnsi="TimesNewRoman" w:eastAsia="仿宋_GB2312" w:cs="TimesNewRoman"/>
          <w:color w:val="000000" w:themeColor="text1"/>
          <w:kern w:val="0"/>
          <w:sz w:val="32"/>
          <w:szCs w:val="32"/>
          <w:lang w:eastAsia="zh-CN"/>
        </w:rPr>
        <w:t>万元，比202</w:t>
      </w:r>
      <w:r>
        <w:rPr>
          <w:rFonts w:hint="eastAsia" w:ascii="TimesNewRoman" w:hAnsi="TimesNewRoman" w:eastAsia="仿宋_GB2312" w:cs="TimesNewRoman"/>
          <w:color w:val="000000" w:themeColor="text1"/>
          <w:kern w:val="0"/>
          <w:sz w:val="32"/>
          <w:szCs w:val="32"/>
          <w:lang w:val="en-US" w:eastAsia="zh-CN"/>
        </w:rPr>
        <w:t>3</w:t>
      </w:r>
      <w:r>
        <w:rPr>
          <w:rFonts w:hint="eastAsia" w:ascii="TimesNewRoman" w:hAnsi="TimesNewRoman" w:eastAsia="仿宋_GB2312" w:cs="TimesNewRoman"/>
          <w:color w:val="000000" w:themeColor="text1"/>
          <w:kern w:val="0"/>
          <w:sz w:val="32"/>
          <w:szCs w:val="32"/>
          <w:lang w:eastAsia="zh-CN"/>
        </w:rPr>
        <w:t>年预算增加</w:t>
      </w:r>
      <w:r>
        <w:rPr>
          <w:rFonts w:hint="eastAsia" w:ascii="TimesNewRoman" w:hAnsi="TimesNewRoman" w:eastAsia="仿宋_GB2312" w:cs="TimesNewRoman"/>
          <w:color w:val="000000" w:themeColor="text1"/>
          <w:kern w:val="0"/>
          <w:sz w:val="32"/>
          <w:szCs w:val="32"/>
          <w:lang w:val="en-US" w:eastAsia="zh-CN"/>
        </w:rPr>
        <w:t>0.02</w:t>
      </w:r>
      <w:r>
        <w:rPr>
          <w:rFonts w:hint="eastAsia" w:ascii="TimesNewRoman" w:hAnsi="TimesNewRoman" w:eastAsia="仿宋_GB2312" w:cs="TimesNewRoman"/>
          <w:color w:val="000000" w:themeColor="text1"/>
          <w:kern w:val="0"/>
          <w:sz w:val="32"/>
          <w:szCs w:val="32"/>
          <w:lang w:eastAsia="zh-CN"/>
        </w:rPr>
        <w:t>万元，增加</w:t>
      </w:r>
      <w:r>
        <w:rPr>
          <w:rFonts w:hint="eastAsia" w:ascii="TimesNewRoman" w:hAnsi="TimesNewRoman" w:eastAsia="仿宋_GB2312" w:cs="TimesNewRoman"/>
          <w:color w:val="000000" w:themeColor="text1"/>
          <w:kern w:val="0"/>
          <w:sz w:val="32"/>
          <w:szCs w:val="32"/>
          <w:lang w:val="en-US" w:eastAsia="zh-CN"/>
        </w:rPr>
        <w:t>1.25</w:t>
      </w:r>
      <w:r>
        <w:rPr>
          <w:rFonts w:hint="eastAsia" w:ascii="TimesNewRoman" w:hAnsi="TimesNewRoman" w:eastAsia="仿宋_GB2312" w:cs="TimesNewRoman"/>
          <w:color w:val="000000" w:themeColor="text1"/>
          <w:kern w:val="0"/>
          <w:sz w:val="32"/>
          <w:szCs w:val="32"/>
          <w:lang w:eastAsia="zh-CN"/>
        </w:rPr>
        <w:t>%，原因主要是</w:t>
      </w:r>
      <w:r>
        <w:rPr>
          <w:rFonts w:hint="eastAsia" w:ascii="TimesNewRoman" w:hAnsi="TimesNewRoman" w:eastAsia="仿宋_GB2312" w:cs="TimesNewRoman"/>
          <w:color w:val="auto"/>
          <w:kern w:val="0"/>
          <w:sz w:val="32"/>
          <w:szCs w:val="32"/>
          <w:lang w:eastAsia="zh-CN"/>
        </w:rPr>
        <w:t>人员经费调整</w:t>
      </w:r>
      <w:r>
        <w:rPr>
          <w:rFonts w:hint="eastAsia" w:ascii="TimesNewRoman" w:hAnsi="TimesNewRoman" w:eastAsia="仿宋_GB2312" w:cs="TimesNewRoman"/>
          <w:color w:val="000000" w:themeColor="text1"/>
          <w:kern w:val="0"/>
          <w:sz w:val="32"/>
          <w:szCs w:val="32"/>
          <w:lang w:eastAsia="zh-CN"/>
        </w:rPr>
        <w:t>。</w:t>
      </w:r>
    </w:p>
    <w:p>
      <w:pPr>
        <w:adjustRightInd w:val="0"/>
        <w:snapToGrid w:val="0"/>
        <w:spacing w:line="600" w:lineRule="exact"/>
        <w:ind w:firstLine="643" w:firstLineChars="200"/>
        <w:rPr>
          <w:rFonts w:hint="eastAsia" w:ascii="TimesNewRoman" w:hAnsi="TimesNewRoman" w:eastAsia="仿宋_GB2312" w:cs="TimesNewRoman"/>
          <w:color w:val="auto"/>
          <w:kern w:val="0"/>
          <w:sz w:val="32"/>
          <w:szCs w:val="32"/>
          <w:lang w:eastAsia="zh-CN"/>
        </w:rPr>
      </w:pPr>
      <w:r>
        <w:rPr>
          <w:rFonts w:hint="eastAsia" w:ascii="仿宋_GB2312" w:hAnsi="仿宋" w:eastAsia="仿宋_GB2312"/>
          <w:b/>
          <w:color w:val="000000" w:themeColor="text1"/>
          <w:sz w:val="32"/>
          <w:szCs w:val="32"/>
          <w:lang w:val="en-US" w:eastAsia="zh-CN"/>
        </w:rPr>
        <w:t>4</w:t>
      </w:r>
      <w:r>
        <w:rPr>
          <w:rFonts w:hint="eastAsia" w:ascii="仿宋_GB2312" w:hAnsi="仿宋" w:eastAsia="仿宋_GB2312"/>
          <w:b/>
          <w:color w:val="000000" w:themeColor="text1"/>
          <w:sz w:val="32"/>
          <w:szCs w:val="32"/>
        </w:rPr>
        <w:t>.</w:t>
      </w:r>
      <w:r>
        <w:rPr>
          <w:rFonts w:hint="eastAsia" w:ascii="仿宋_GB2312" w:hAnsi="仿宋" w:eastAsia="仿宋_GB2312"/>
          <w:b/>
          <w:bCs/>
          <w:color w:val="000000" w:themeColor="text1"/>
          <w:sz w:val="32"/>
          <w:szCs w:val="32"/>
        </w:rPr>
        <w:t>社会保障和就业支出</w:t>
      </w:r>
      <w:r>
        <w:rPr>
          <w:rFonts w:hint="eastAsia" w:ascii="仿宋_GB2312" w:hAnsi="仿宋" w:eastAsia="仿宋_GB2312"/>
          <w:b/>
          <w:color w:val="000000" w:themeColor="text1"/>
          <w:sz w:val="32"/>
          <w:szCs w:val="32"/>
        </w:rPr>
        <w:t>（类）其他社会保障和就业支出（款）其他社会保障和就业支出（项）</w:t>
      </w:r>
      <w:r>
        <w:rPr>
          <w:rFonts w:hint="eastAsia" w:ascii="TimesNewRoman" w:hAnsi="TimesNewRoman" w:eastAsia="仿宋_GB2312" w:cs="TimesNewRoman"/>
          <w:color w:val="000000" w:themeColor="text1"/>
          <w:kern w:val="0"/>
          <w:sz w:val="32"/>
          <w:szCs w:val="32"/>
          <w:lang w:eastAsia="zh-CN"/>
        </w:rPr>
        <w:t>202</w:t>
      </w:r>
      <w:r>
        <w:rPr>
          <w:rFonts w:hint="eastAsia" w:ascii="TimesNewRoman" w:hAnsi="TimesNewRoman" w:eastAsia="仿宋_GB2312" w:cs="TimesNewRoman"/>
          <w:color w:val="000000" w:themeColor="text1"/>
          <w:kern w:val="0"/>
          <w:sz w:val="32"/>
          <w:szCs w:val="32"/>
          <w:lang w:val="en-US" w:eastAsia="zh-CN"/>
        </w:rPr>
        <w:t>4</w:t>
      </w:r>
      <w:r>
        <w:rPr>
          <w:rFonts w:hint="eastAsia" w:ascii="TimesNewRoman" w:hAnsi="TimesNewRoman" w:eastAsia="仿宋_GB2312" w:cs="TimesNewRoman"/>
          <w:color w:val="000000" w:themeColor="text1"/>
          <w:kern w:val="0"/>
          <w:sz w:val="32"/>
          <w:szCs w:val="32"/>
          <w:lang w:eastAsia="zh-CN"/>
        </w:rPr>
        <w:t>年预算0.1</w:t>
      </w:r>
      <w:r>
        <w:rPr>
          <w:rFonts w:hint="eastAsia" w:ascii="TimesNewRoman" w:hAnsi="TimesNewRoman" w:eastAsia="仿宋_GB2312" w:cs="TimesNewRoman"/>
          <w:color w:val="000000" w:themeColor="text1"/>
          <w:kern w:val="0"/>
          <w:sz w:val="32"/>
          <w:szCs w:val="32"/>
          <w:lang w:val="en-US" w:eastAsia="zh-CN"/>
        </w:rPr>
        <w:t>0</w:t>
      </w:r>
      <w:r>
        <w:rPr>
          <w:rFonts w:hint="eastAsia" w:ascii="TimesNewRoman" w:hAnsi="TimesNewRoman" w:eastAsia="仿宋_GB2312" w:cs="TimesNewRoman"/>
          <w:color w:val="000000" w:themeColor="text1"/>
          <w:kern w:val="0"/>
          <w:sz w:val="32"/>
          <w:szCs w:val="32"/>
          <w:lang w:eastAsia="zh-CN"/>
        </w:rPr>
        <w:t>万元，与202</w:t>
      </w:r>
      <w:r>
        <w:rPr>
          <w:rFonts w:hint="eastAsia" w:ascii="TimesNewRoman" w:hAnsi="TimesNewRoman" w:eastAsia="仿宋_GB2312" w:cs="TimesNewRoman"/>
          <w:color w:val="000000" w:themeColor="text1"/>
          <w:kern w:val="0"/>
          <w:sz w:val="32"/>
          <w:szCs w:val="32"/>
          <w:lang w:val="en-US" w:eastAsia="zh-CN"/>
        </w:rPr>
        <w:t>3</w:t>
      </w:r>
      <w:r>
        <w:rPr>
          <w:rFonts w:hint="eastAsia" w:ascii="TimesNewRoman" w:hAnsi="TimesNewRoman" w:eastAsia="仿宋_GB2312" w:cs="TimesNewRoman"/>
          <w:color w:val="000000" w:themeColor="text1"/>
          <w:kern w:val="0"/>
          <w:sz w:val="32"/>
          <w:szCs w:val="32"/>
          <w:lang w:eastAsia="zh-CN"/>
        </w:rPr>
        <w:t>年预算一致，</w:t>
      </w:r>
      <w:r>
        <w:rPr>
          <w:rFonts w:hint="eastAsia" w:ascii="TimesNewRoman" w:hAnsi="TimesNewRoman" w:eastAsia="仿宋_GB2312" w:cs="TimesNewRoman"/>
          <w:color w:val="auto"/>
          <w:kern w:val="0"/>
          <w:sz w:val="32"/>
          <w:szCs w:val="32"/>
          <w:lang w:eastAsia="zh-CN"/>
        </w:rPr>
        <w:t>原因主要是没有变动。</w:t>
      </w:r>
    </w:p>
    <w:p>
      <w:pPr>
        <w:ind w:firstLine="640" w:firstLineChars="200"/>
        <w:rPr>
          <w:rFonts w:hint="eastAsia" w:ascii="TimesNewRoman" w:hAnsi="TimesNewRoman" w:eastAsia="仿宋_GB2312" w:cs="TimesNewRoman"/>
          <w:color w:val="auto"/>
          <w:kern w:val="0"/>
          <w:sz w:val="32"/>
          <w:szCs w:val="32"/>
          <w:lang w:val="en-US" w:eastAsia="zh-CN"/>
        </w:rPr>
      </w:pPr>
      <w:r>
        <w:rPr>
          <w:rFonts w:hint="eastAsia" w:ascii="TimesNewRoman" w:hAnsi="TimesNewRoman" w:eastAsia="仿宋_GB2312" w:cs="TimesNewRoman"/>
          <w:color w:val="000000" w:themeColor="text1"/>
          <w:kern w:val="0"/>
          <w:sz w:val="32"/>
          <w:szCs w:val="32"/>
          <w:lang w:val="en-US" w:eastAsia="zh-CN"/>
        </w:rPr>
        <w:t>5</w:t>
      </w:r>
      <w:r>
        <w:rPr>
          <w:rFonts w:hint="eastAsia" w:ascii="TimesNewRoman" w:hAnsi="TimesNewRoman" w:eastAsia="仿宋_GB2312" w:cs="TimesNewRoman"/>
          <w:color w:val="000000" w:themeColor="text1"/>
          <w:kern w:val="0"/>
          <w:sz w:val="32"/>
          <w:szCs w:val="32"/>
        </w:rPr>
        <w:t>、</w:t>
      </w:r>
      <w:r>
        <w:rPr>
          <w:rFonts w:hint="eastAsia" w:ascii="仿宋_GB2312" w:hAnsi="仿宋" w:eastAsia="仿宋_GB2312"/>
          <w:b/>
          <w:bCs/>
          <w:color w:val="000000" w:themeColor="text1"/>
          <w:sz w:val="32"/>
          <w:szCs w:val="32"/>
        </w:rPr>
        <w:t>卫生健康支出（类）行政事业单位医疗（款）事业单位医疗（项）</w:t>
      </w:r>
      <w:r>
        <w:rPr>
          <w:rFonts w:hint="eastAsia" w:ascii="TimesNewRoman" w:hAnsi="TimesNewRoman" w:eastAsia="仿宋_GB2312" w:cs="TimesNewRoman"/>
          <w:color w:val="auto"/>
          <w:kern w:val="0"/>
          <w:sz w:val="32"/>
          <w:szCs w:val="32"/>
          <w:lang w:val="en-US" w:eastAsia="zh-CN"/>
        </w:rPr>
        <w:t>2024年预算1.24万元，比2023年预算增加0.02万元，增加1.64%，原因主要是人员经费调整。</w:t>
      </w:r>
    </w:p>
    <w:p>
      <w:pPr>
        <w:adjustRightInd w:val="0"/>
        <w:snapToGrid w:val="0"/>
        <w:spacing w:line="600" w:lineRule="exact"/>
        <w:ind w:firstLine="643" w:firstLineChars="200"/>
        <w:rPr>
          <w:rFonts w:hint="eastAsia" w:ascii="TimesNewRoman" w:hAnsi="TimesNewRoman" w:eastAsia="仿宋_GB2312" w:cs="TimesNewRoman"/>
          <w:color w:val="000000" w:themeColor="text1"/>
          <w:kern w:val="0"/>
          <w:sz w:val="32"/>
          <w:szCs w:val="32"/>
          <w:lang w:eastAsia="zh-CN"/>
        </w:rPr>
      </w:pPr>
      <w:r>
        <w:rPr>
          <w:rFonts w:hint="eastAsia" w:ascii="仿宋_GB2312" w:hAnsi="仿宋" w:eastAsia="仿宋_GB2312"/>
          <w:b/>
          <w:color w:val="000000" w:themeColor="text1"/>
          <w:sz w:val="32"/>
          <w:szCs w:val="32"/>
          <w:lang w:val="en-US" w:eastAsia="zh-CN"/>
        </w:rPr>
        <w:t>6</w:t>
      </w:r>
      <w:r>
        <w:rPr>
          <w:rFonts w:hint="eastAsia" w:ascii="仿宋_GB2312" w:hAnsi="仿宋" w:eastAsia="仿宋_GB2312"/>
          <w:b/>
          <w:color w:val="000000" w:themeColor="text1"/>
          <w:sz w:val="32"/>
          <w:szCs w:val="32"/>
        </w:rPr>
        <w:t>.</w:t>
      </w:r>
      <w:r>
        <w:rPr>
          <w:rFonts w:hint="eastAsia" w:ascii="仿宋_GB2312" w:hAnsi="仿宋" w:eastAsia="仿宋_GB2312"/>
          <w:b/>
          <w:bCs/>
          <w:color w:val="000000" w:themeColor="text1"/>
          <w:sz w:val="32"/>
          <w:szCs w:val="32"/>
        </w:rPr>
        <w:t>卫生健康支出</w:t>
      </w:r>
      <w:r>
        <w:rPr>
          <w:rFonts w:hint="eastAsia" w:ascii="仿宋_GB2312" w:hAnsi="仿宋" w:eastAsia="仿宋_GB2312"/>
          <w:b/>
          <w:color w:val="000000" w:themeColor="text1"/>
          <w:sz w:val="32"/>
          <w:szCs w:val="32"/>
        </w:rPr>
        <w:t>（类）行政事业单位医疗（款）公务员医疗补助（项）</w:t>
      </w:r>
      <w:r>
        <w:rPr>
          <w:rFonts w:hint="eastAsia" w:ascii="TimesNewRoman" w:hAnsi="TimesNewRoman" w:eastAsia="仿宋_GB2312" w:cs="TimesNewRoman"/>
          <w:color w:val="000000" w:themeColor="text1"/>
          <w:kern w:val="0"/>
          <w:sz w:val="32"/>
          <w:szCs w:val="32"/>
          <w:lang w:eastAsia="zh-CN"/>
        </w:rPr>
        <w:t>202</w:t>
      </w:r>
      <w:r>
        <w:rPr>
          <w:rFonts w:hint="eastAsia" w:ascii="TimesNewRoman" w:hAnsi="TimesNewRoman" w:eastAsia="仿宋_GB2312" w:cs="TimesNewRoman"/>
          <w:color w:val="000000" w:themeColor="text1"/>
          <w:kern w:val="0"/>
          <w:sz w:val="32"/>
          <w:szCs w:val="32"/>
          <w:lang w:val="en-US" w:eastAsia="zh-CN"/>
        </w:rPr>
        <w:t>4</w:t>
      </w:r>
      <w:r>
        <w:rPr>
          <w:rFonts w:hint="eastAsia" w:ascii="TimesNewRoman" w:hAnsi="TimesNewRoman" w:eastAsia="仿宋_GB2312" w:cs="TimesNewRoman"/>
          <w:color w:val="000000" w:themeColor="text1"/>
          <w:kern w:val="0"/>
          <w:sz w:val="32"/>
          <w:szCs w:val="32"/>
          <w:lang w:eastAsia="zh-CN"/>
        </w:rPr>
        <w:t>年预算</w:t>
      </w:r>
      <w:r>
        <w:rPr>
          <w:rFonts w:hint="eastAsia" w:ascii="TimesNewRoman" w:hAnsi="TimesNewRoman" w:eastAsia="仿宋_GB2312" w:cs="TimesNewRoman"/>
          <w:color w:val="000000" w:themeColor="text1"/>
          <w:kern w:val="0"/>
          <w:sz w:val="32"/>
          <w:szCs w:val="32"/>
          <w:lang w:val="en-US" w:eastAsia="zh-CN"/>
        </w:rPr>
        <w:t>0.66</w:t>
      </w:r>
      <w:r>
        <w:rPr>
          <w:rFonts w:hint="eastAsia" w:ascii="TimesNewRoman" w:hAnsi="TimesNewRoman" w:eastAsia="仿宋_GB2312" w:cs="TimesNewRoman"/>
          <w:color w:val="000000" w:themeColor="text1"/>
          <w:kern w:val="0"/>
          <w:sz w:val="32"/>
          <w:szCs w:val="32"/>
          <w:lang w:eastAsia="zh-CN"/>
        </w:rPr>
        <w:t>万元，比202</w:t>
      </w:r>
      <w:r>
        <w:rPr>
          <w:rFonts w:hint="eastAsia" w:ascii="TimesNewRoman" w:hAnsi="TimesNewRoman" w:eastAsia="仿宋_GB2312" w:cs="TimesNewRoman"/>
          <w:color w:val="000000" w:themeColor="text1"/>
          <w:kern w:val="0"/>
          <w:sz w:val="32"/>
          <w:szCs w:val="32"/>
          <w:lang w:val="en-US" w:eastAsia="zh-CN"/>
        </w:rPr>
        <w:t>3</w:t>
      </w:r>
      <w:r>
        <w:rPr>
          <w:rFonts w:hint="eastAsia" w:ascii="TimesNewRoman" w:hAnsi="TimesNewRoman" w:eastAsia="仿宋_GB2312" w:cs="TimesNewRoman"/>
          <w:color w:val="000000" w:themeColor="text1"/>
          <w:kern w:val="0"/>
          <w:sz w:val="32"/>
          <w:szCs w:val="32"/>
          <w:lang w:eastAsia="zh-CN"/>
        </w:rPr>
        <w:t>年预算减少</w:t>
      </w:r>
      <w:r>
        <w:rPr>
          <w:rFonts w:hint="eastAsia" w:ascii="TimesNewRoman" w:hAnsi="TimesNewRoman" w:eastAsia="仿宋_GB2312" w:cs="TimesNewRoman"/>
          <w:color w:val="000000" w:themeColor="text1"/>
          <w:kern w:val="0"/>
          <w:sz w:val="32"/>
          <w:szCs w:val="32"/>
          <w:lang w:val="en-US" w:eastAsia="zh-CN"/>
        </w:rPr>
        <w:t>0.2</w:t>
      </w:r>
      <w:r>
        <w:rPr>
          <w:rFonts w:hint="eastAsia" w:ascii="TimesNewRoman" w:hAnsi="TimesNewRoman" w:eastAsia="仿宋_GB2312" w:cs="TimesNewRoman"/>
          <w:color w:val="000000" w:themeColor="text1"/>
          <w:kern w:val="0"/>
          <w:sz w:val="32"/>
          <w:szCs w:val="32"/>
          <w:lang w:eastAsia="zh-CN"/>
        </w:rPr>
        <w:t>万元，下降</w:t>
      </w:r>
      <w:r>
        <w:rPr>
          <w:rFonts w:hint="eastAsia" w:ascii="TimesNewRoman" w:hAnsi="TimesNewRoman" w:eastAsia="仿宋_GB2312" w:cs="TimesNewRoman"/>
          <w:color w:val="000000" w:themeColor="text1"/>
          <w:kern w:val="0"/>
          <w:sz w:val="32"/>
          <w:szCs w:val="32"/>
          <w:lang w:val="en-US" w:eastAsia="zh-CN"/>
        </w:rPr>
        <w:t>23.26</w:t>
      </w:r>
      <w:r>
        <w:rPr>
          <w:rFonts w:hint="eastAsia" w:ascii="TimesNewRoman" w:hAnsi="TimesNewRoman" w:eastAsia="仿宋_GB2312" w:cs="TimesNewRoman"/>
          <w:color w:val="000000" w:themeColor="text1"/>
          <w:kern w:val="0"/>
          <w:sz w:val="32"/>
          <w:szCs w:val="32"/>
          <w:lang w:eastAsia="zh-CN"/>
        </w:rPr>
        <w:t>%，原因主要是</w:t>
      </w:r>
      <w:r>
        <w:rPr>
          <w:rFonts w:hint="eastAsia" w:ascii="TimesNewRoman" w:hAnsi="TimesNewRoman" w:eastAsia="仿宋_GB2312" w:cs="TimesNewRoman"/>
          <w:color w:val="auto"/>
          <w:kern w:val="0"/>
          <w:sz w:val="32"/>
          <w:szCs w:val="32"/>
          <w:lang w:eastAsia="zh-CN"/>
        </w:rPr>
        <w:t>人员经费调整</w:t>
      </w:r>
      <w:r>
        <w:rPr>
          <w:rFonts w:hint="eastAsia" w:ascii="TimesNewRoman" w:hAnsi="TimesNewRoman" w:eastAsia="仿宋_GB2312" w:cs="TimesNewRoman"/>
          <w:color w:val="000000" w:themeColor="text1"/>
          <w:kern w:val="0"/>
          <w:sz w:val="32"/>
          <w:szCs w:val="32"/>
          <w:lang w:eastAsia="zh-CN"/>
        </w:rPr>
        <w:t>。</w:t>
      </w:r>
    </w:p>
    <w:p>
      <w:pPr>
        <w:adjustRightInd w:val="0"/>
        <w:snapToGrid w:val="0"/>
        <w:spacing w:line="600" w:lineRule="exact"/>
        <w:ind w:firstLine="643" w:firstLineChars="200"/>
        <w:rPr>
          <w:rFonts w:hint="eastAsia" w:ascii="TimesNewRoman" w:hAnsi="TimesNewRoman" w:eastAsia="仿宋_GB2312" w:cs="TimesNewRoman"/>
          <w:color w:val="000000" w:themeColor="text1"/>
          <w:kern w:val="0"/>
          <w:sz w:val="32"/>
          <w:szCs w:val="32"/>
          <w:lang w:eastAsia="zh-CN"/>
        </w:rPr>
      </w:pPr>
      <w:r>
        <w:rPr>
          <w:rFonts w:hint="eastAsia" w:ascii="仿宋_GB2312" w:hAnsi="仿宋" w:eastAsia="仿宋_GB2312"/>
          <w:b/>
          <w:color w:val="000000" w:themeColor="text1"/>
          <w:sz w:val="32"/>
          <w:szCs w:val="32"/>
          <w:lang w:val="en-US" w:eastAsia="zh-CN"/>
        </w:rPr>
        <w:t>7</w:t>
      </w:r>
      <w:r>
        <w:rPr>
          <w:rFonts w:hint="eastAsia" w:ascii="仿宋_GB2312" w:hAnsi="仿宋" w:eastAsia="仿宋_GB2312"/>
          <w:b/>
          <w:color w:val="000000" w:themeColor="text1"/>
          <w:sz w:val="32"/>
          <w:szCs w:val="32"/>
        </w:rPr>
        <w:t>.</w:t>
      </w:r>
      <w:r>
        <w:rPr>
          <w:rFonts w:hint="eastAsia" w:ascii="仿宋_GB2312" w:hAnsi="仿宋" w:eastAsia="仿宋_GB2312"/>
          <w:b/>
          <w:bCs/>
          <w:color w:val="000000" w:themeColor="text1"/>
          <w:sz w:val="32"/>
          <w:szCs w:val="32"/>
        </w:rPr>
        <w:t>自然资源海洋气象等支出</w:t>
      </w:r>
      <w:r>
        <w:rPr>
          <w:rFonts w:hint="eastAsia" w:ascii="仿宋_GB2312" w:hAnsi="仿宋" w:eastAsia="仿宋_GB2312"/>
          <w:b/>
          <w:color w:val="000000" w:themeColor="text1"/>
          <w:sz w:val="32"/>
          <w:szCs w:val="32"/>
        </w:rPr>
        <w:t>（类）自然资源事务（款）事业运行（项）</w:t>
      </w:r>
      <w:r>
        <w:rPr>
          <w:rFonts w:hint="eastAsia" w:ascii="TimesNewRoman" w:hAnsi="TimesNewRoman" w:eastAsia="仿宋_GB2312" w:cs="TimesNewRoman"/>
          <w:color w:val="000000" w:themeColor="text1"/>
          <w:kern w:val="0"/>
          <w:sz w:val="32"/>
          <w:szCs w:val="32"/>
          <w:lang w:eastAsia="zh-CN"/>
        </w:rPr>
        <w:t>202</w:t>
      </w:r>
      <w:r>
        <w:rPr>
          <w:rFonts w:hint="eastAsia" w:ascii="TimesNewRoman" w:hAnsi="TimesNewRoman" w:eastAsia="仿宋_GB2312" w:cs="TimesNewRoman"/>
          <w:color w:val="000000" w:themeColor="text1"/>
          <w:kern w:val="0"/>
          <w:sz w:val="32"/>
          <w:szCs w:val="32"/>
          <w:lang w:val="en-US" w:eastAsia="zh-CN"/>
        </w:rPr>
        <w:t>4</w:t>
      </w:r>
      <w:r>
        <w:rPr>
          <w:rFonts w:hint="eastAsia" w:ascii="TimesNewRoman" w:hAnsi="TimesNewRoman" w:eastAsia="仿宋_GB2312" w:cs="TimesNewRoman"/>
          <w:color w:val="000000" w:themeColor="text1"/>
          <w:kern w:val="0"/>
          <w:sz w:val="32"/>
          <w:szCs w:val="32"/>
          <w:lang w:eastAsia="zh-CN"/>
        </w:rPr>
        <w:t>年预算</w:t>
      </w:r>
      <w:r>
        <w:rPr>
          <w:rFonts w:hint="eastAsia" w:ascii="TimesNewRoman" w:hAnsi="TimesNewRoman" w:eastAsia="仿宋_GB2312" w:cs="TimesNewRoman"/>
          <w:color w:val="000000" w:themeColor="text1"/>
          <w:kern w:val="0"/>
          <w:sz w:val="32"/>
          <w:szCs w:val="32"/>
          <w:lang w:val="en-US" w:eastAsia="zh-CN"/>
        </w:rPr>
        <w:t>26.45</w:t>
      </w:r>
      <w:r>
        <w:rPr>
          <w:rFonts w:hint="eastAsia" w:ascii="TimesNewRoman" w:hAnsi="TimesNewRoman" w:eastAsia="仿宋_GB2312" w:cs="TimesNewRoman"/>
          <w:color w:val="000000" w:themeColor="text1"/>
          <w:kern w:val="0"/>
          <w:sz w:val="32"/>
          <w:szCs w:val="32"/>
          <w:lang w:eastAsia="zh-CN"/>
        </w:rPr>
        <w:t>万元，比202</w:t>
      </w:r>
      <w:r>
        <w:rPr>
          <w:rFonts w:hint="eastAsia" w:ascii="TimesNewRoman" w:hAnsi="TimesNewRoman" w:eastAsia="仿宋_GB2312" w:cs="TimesNewRoman"/>
          <w:color w:val="000000" w:themeColor="text1"/>
          <w:kern w:val="0"/>
          <w:sz w:val="32"/>
          <w:szCs w:val="32"/>
          <w:lang w:val="en-US" w:eastAsia="zh-CN"/>
        </w:rPr>
        <w:t>3</w:t>
      </w:r>
      <w:r>
        <w:rPr>
          <w:rFonts w:hint="eastAsia" w:ascii="TimesNewRoman" w:hAnsi="TimesNewRoman" w:eastAsia="仿宋_GB2312" w:cs="TimesNewRoman"/>
          <w:color w:val="000000" w:themeColor="text1"/>
          <w:kern w:val="0"/>
          <w:sz w:val="32"/>
          <w:szCs w:val="32"/>
          <w:lang w:eastAsia="zh-CN"/>
        </w:rPr>
        <w:t>年预算减少</w:t>
      </w:r>
      <w:r>
        <w:rPr>
          <w:rFonts w:hint="eastAsia" w:ascii="TimesNewRoman" w:hAnsi="TimesNewRoman" w:eastAsia="仿宋_GB2312" w:cs="TimesNewRoman"/>
          <w:color w:val="000000" w:themeColor="text1"/>
          <w:kern w:val="0"/>
          <w:sz w:val="32"/>
          <w:szCs w:val="32"/>
          <w:lang w:val="en-US" w:eastAsia="zh-CN"/>
        </w:rPr>
        <w:t>1.68</w:t>
      </w:r>
      <w:r>
        <w:rPr>
          <w:rFonts w:hint="eastAsia" w:ascii="TimesNewRoman" w:hAnsi="TimesNewRoman" w:eastAsia="仿宋_GB2312" w:cs="TimesNewRoman"/>
          <w:color w:val="000000" w:themeColor="text1"/>
          <w:kern w:val="0"/>
          <w:sz w:val="32"/>
          <w:szCs w:val="32"/>
          <w:lang w:eastAsia="zh-CN"/>
        </w:rPr>
        <w:t>万元，下降</w:t>
      </w:r>
      <w:r>
        <w:rPr>
          <w:rFonts w:hint="eastAsia" w:ascii="TimesNewRoman" w:hAnsi="TimesNewRoman" w:eastAsia="仿宋_GB2312" w:cs="TimesNewRoman"/>
          <w:color w:val="000000" w:themeColor="text1"/>
          <w:kern w:val="0"/>
          <w:sz w:val="32"/>
          <w:szCs w:val="32"/>
          <w:lang w:val="en-US" w:eastAsia="zh-CN"/>
        </w:rPr>
        <w:t>5.97</w:t>
      </w:r>
      <w:r>
        <w:rPr>
          <w:rFonts w:hint="eastAsia" w:ascii="TimesNewRoman" w:hAnsi="TimesNewRoman" w:eastAsia="仿宋_GB2312" w:cs="TimesNewRoman"/>
          <w:color w:val="000000" w:themeColor="text1"/>
          <w:kern w:val="0"/>
          <w:sz w:val="32"/>
          <w:szCs w:val="32"/>
          <w:lang w:eastAsia="zh-CN"/>
        </w:rPr>
        <w:t>%，原因主要是</w:t>
      </w:r>
      <w:r>
        <w:rPr>
          <w:rFonts w:hint="eastAsia" w:ascii="TimesNewRoman" w:hAnsi="TimesNewRoman" w:eastAsia="仿宋_GB2312" w:cs="TimesNewRoman"/>
          <w:color w:val="auto"/>
          <w:kern w:val="0"/>
          <w:sz w:val="32"/>
          <w:szCs w:val="32"/>
          <w:lang w:eastAsia="zh-CN"/>
        </w:rPr>
        <w:t>经费调整</w:t>
      </w:r>
      <w:r>
        <w:rPr>
          <w:rFonts w:hint="eastAsia" w:ascii="TimesNewRoman" w:hAnsi="TimesNewRoman" w:eastAsia="仿宋_GB2312" w:cs="TimesNewRoman"/>
          <w:color w:val="000000" w:themeColor="text1"/>
          <w:kern w:val="0"/>
          <w:sz w:val="32"/>
          <w:szCs w:val="32"/>
          <w:lang w:eastAsia="zh-CN"/>
        </w:rPr>
        <w:t>。</w:t>
      </w:r>
    </w:p>
    <w:p>
      <w:pPr>
        <w:adjustRightInd w:val="0"/>
        <w:snapToGrid w:val="0"/>
        <w:spacing w:line="600" w:lineRule="exact"/>
        <w:ind w:firstLine="643" w:firstLineChars="200"/>
        <w:rPr>
          <w:rFonts w:hint="eastAsia" w:ascii="TimesNewRoman" w:hAnsi="TimesNewRoman" w:eastAsia="仿宋_GB2312" w:cs="TimesNewRoman"/>
          <w:color w:val="000000" w:themeColor="text1"/>
          <w:kern w:val="0"/>
          <w:sz w:val="32"/>
          <w:szCs w:val="32"/>
          <w:lang w:eastAsia="zh-CN"/>
        </w:rPr>
      </w:pPr>
      <w:r>
        <w:rPr>
          <w:rFonts w:hint="eastAsia" w:ascii="仿宋_GB2312" w:hAnsi="仿宋" w:eastAsia="仿宋_GB2312"/>
          <w:b/>
          <w:color w:val="000000" w:themeColor="text1"/>
          <w:sz w:val="32"/>
          <w:szCs w:val="32"/>
          <w:lang w:val="en-US" w:eastAsia="zh-CN"/>
        </w:rPr>
        <w:t>8</w:t>
      </w:r>
      <w:r>
        <w:rPr>
          <w:rFonts w:hint="eastAsia" w:ascii="仿宋_GB2312" w:hAnsi="仿宋" w:eastAsia="仿宋_GB2312"/>
          <w:b/>
          <w:color w:val="000000" w:themeColor="text1"/>
          <w:sz w:val="32"/>
          <w:szCs w:val="32"/>
        </w:rPr>
        <w:t>.</w:t>
      </w:r>
      <w:r>
        <w:rPr>
          <w:rFonts w:hint="eastAsia" w:ascii="仿宋_GB2312" w:hAnsi="仿宋" w:eastAsia="仿宋_GB2312"/>
          <w:b/>
          <w:bCs/>
          <w:color w:val="000000" w:themeColor="text1"/>
          <w:sz w:val="32"/>
          <w:szCs w:val="32"/>
        </w:rPr>
        <w:t>住房保障支出</w:t>
      </w:r>
      <w:r>
        <w:rPr>
          <w:rFonts w:hint="eastAsia" w:ascii="仿宋_GB2312" w:hAnsi="仿宋" w:eastAsia="仿宋_GB2312"/>
          <w:b/>
          <w:color w:val="000000" w:themeColor="text1"/>
          <w:sz w:val="32"/>
          <w:szCs w:val="32"/>
        </w:rPr>
        <w:t>（类）住房改革支出（款）住房公积金（项）</w:t>
      </w:r>
      <w:r>
        <w:rPr>
          <w:rFonts w:hint="eastAsia" w:ascii="TimesNewRoman" w:hAnsi="TimesNewRoman" w:eastAsia="仿宋_GB2312" w:cs="TimesNewRoman"/>
          <w:color w:val="000000" w:themeColor="text1"/>
          <w:kern w:val="0"/>
          <w:sz w:val="32"/>
          <w:szCs w:val="32"/>
          <w:lang w:eastAsia="zh-CN"/>
        </w:rPr>
        <w:t>202</w:t>
      </w:r>
      <w:r>
        <w:rPr>
          <w:rFonts w:hint="eastAsia" w:ascii="TimesNewRoman" w:hAnsi="TimesNewRoman" w:eastAsia="仿宋_GB2312" w:cs="TimesNewRoman"/>
          <w:color w:val="000000" w:themeColor="text1"/>
          <w:kern w:val="0"/>
          <w:sz w:val="32"/>
          <w:szCs w:val="32"/>
          <w:lang w:val="en-US" w:eastAsia="zh-CN"/>
        </w:rPr>
        <w:t>4</w:t>
      </w:r>
      <w:r>
        <w:rPr>
          <w:rFonts w:hint="eastAsia" w:ascii="TimesNewRoman" w:hAnsi="TimesNewRoman" w:eastAsia="仿宋_GB2312" w:cs="TimesNewRoman"/>
          <w:color w:val="000000" w:themeColor="text1"/>
          <w:kern w:val="0"/>
          <w:sz w:val="32"/>
          <w:szCs w:val="32"/>
          <w:lang w:eastAsia="zh-CN"/>
        </w:rPr>
        <w:t>年预算</w:t>
      </w:r>
      <w:r>
        <w:rPr>
          <w:rFonts w:hint="eastAsia" w:ascii="TimesNewRoman" w:hAnsi="TimesNewRoman" w:eastAsia="仿宋_GB2312" w:cs="TimesNewRoman"/>
          <w:color w:val="000000" w:themeColor="text1"/>
          <w:kern w:val="0"/>
          <w:sz w:val="32"/>
          <w:szCs w:val="32"/>
          <w:lang w:val="en-US" w:eastAsia="zh-CN"/>
        </w:rPr>
        <w:t>3.50</w:t>
      </w:r>
      <w:r>
        <w:rPr>
          <w:rFonts w:hint="eastAsia" w:ascii="TimesNewRoman" w:hAnsi="TimesNewRoman" w:eastAsia="仿宋_GB2312" w:cs="TimesNewRoman"/>
          <w:color w:val="000000" w:themeColor="text1"/>
          <w:kern w:val="0"/>
          <w:sz w:val="32"/>
          <w:szCs w:val="32"/>
          <w:lang w:eastAsia="zh-CN"/>
        </w:rPr>
        <w:t>万元，比202</w:t>
      </w:r>
      <w:r>
        <w:rPr>
          <w:rFonts w:hint="eastAsia" w:ascii="TimesNewRoman" w:hAnsi="TimesNewRoman" w:eastAsia="仿宋_GB2312" w:cs="TimesNewRoman"/>
          <w:color w:val="000000" w:themeColor="text1"/>
          <w:kern w:val="0"/>
          <w:sz w:val="32"/>
          <w:szCs w:val="32"/>
          <w:lang w:val="en-US" w:eastAsia="zh-CN"/>
        </w:rPr>
        <w:t>3</w:t>
      </w:r>
      <w:r>
        <w:rPr>
          <w:rFonts w:hint="eastAsia" w:ascii="TimesNewRoman" w:hAnsi="TimesNewRoman" w:eastAsia="仿宋_GB2312" w:cs="TimesNewRoman"/>
          <w:color w:val="000000" w:themeColor="text1"/>
          <w:kern w:val="0"/>
          <w:sz w:val="32"/>
          <w:szCs w:val="32"/>
          <w:lang w:eastAsia="zh-CN"/>
        </w:rPr>
        <w:t>年预算增加</w:t>
      </w:r>
      <w:r>
        <w:rPr>
          <w:rFonts w:hint="eastAsia" w:ascii="TimesNewRoman" w:hAnsi="TimesNewRoman" w:eastAsia="仿宋_GB2312" w:cs="TimesNewRoman"/>
          <w:color w:val="000000" w:themeColor="text1"/>
          <w:kern w:val="0"/>
          <w:sz w:val="32"/>
          <w:szCs w:val="32"/>
          <w:lang w:val="en-US" w:eastAsia="zh-CN"/>
        </w:rPr>
        <w:t>0.48</w:t>
      </w:r>
      <w:r>
        <w:rPr>
          <w:rFonts w:hint="eastAsia" w:ascii="TimesNewRoman" w:hAnsi="TimesNewRoman" w:eastAsia="仿宋_GB2312" w:cs="TimesNewRoman"/>
          <w:color w:val="000000" w:themeColor="text1"/>
          <w:kern w:val="0"/>
          <w:sz w:val="32"/>
          <w:szCs w:val="32"/>
          <w:lang w:eastAsia="zh-CN"/>
        </w:rPr>
        <w:t>万元，增加</w:t>
      </w:r>
      <w:r>
        <w:rPr>
          <w:rFonts w:hint="eastAsia" w:ascii="TimesNewRoman" w:hAnsi="TimesNewRoman" w:eastAsia="仿宋_GB2312" w:cs="TimesNewRoman"/>
          <w:color w:val="000000" w:themeColor="text1"/>
          <w:kern w:val="0"/>
          <w:sz w:val="32"/>
          <w:szCs w:val="32"/>
          <w:lang w:val="en-US" w:eastAsia="zh-CN"/>
        </w:rPr>
        <w:t>15.89</w:t>
      </w:r>
      <w:r>
        <w:rPr>
          <w:rFonts w:hint="eastAsia" w:ascii="TimesNewRoman" w:hAnsi="TimesNewRoman" w:eastAsia="仿宋_GB2312" w:cs="TimesNewRoman"/>
          <w:color w:val="000000" w:themeColor="text1"/>
          <w:kern w:val="0"/>
          <w:sz w:val="32"/>
          <w:szCs w:val="32"/>
          <w:lang w:eastAsia="zh-CN"/>
        </w:rPr>
        <w:t>%，原因主要是</w:t>
      </w:r>
      <w:r>
        <w:rPr>
          <w:rFonts w:hint="eastAsia" w:ascii="TimesNewRoman" w:hAnsi="TimesNewRoman" w:eastAsia="仿宋_GB2312" w:cs="TimesNewRoman"/>
          <w:color w:val="auto"/>
          <w:kern w:val="0"/>
          <w:sz w:val="32"/>
          <w:szCs w:val="32"/>
          <w:lang w:eastAsia="zh-CN"/>
        </w:rPr>
        <w:t>人员经费调整</w:t>
      </w:r>
      <w:r>
        <w:rPr>
          <w:rFonts w:hint="eastAsia" w:ascii="TimesNewRoman" w:hAnsi="TimesNewRoman" w:eastAsia="仿宋_GB2312" w:cs="TimesNewRoman"/>
          <w:color w:val="000000" w:themeColor="text1"/>
          <w:kern w:val="0"/>
          <w:sz w:val="32"/>
          <w:szCs w:val="32"/>
          <w:lang w:eastAsia="zh-CN"/>
        </w:rPr>
        <w:t>。</w:t>
      </w:r>
    </w:p>
    <w:p>
      <w:pPr>
        <w:adjustRightInd w:val="0"/>
        <w:snapToGrid w:val="0"/>
        <w:spacing w:line="600" w:lineRule="exact"/>
        <w:ind w:firstLine="643" w:firstLineChars="200"/>
        <w:rPr>
          <w:rFonts w:hint="eastAsia" w:ascii="TimesNewRoman" w:hAnsi="TimesNewRoman" w:eastAsia="仿宋_GB2312" w:cs="TimesNewRoman"/>
          <w:color w:val="000000" w:themeColor="text1"/>
          <w:kern w:val="0"/>
          <w:sz w:val="32"/>
          <w:szCs w:val="32"/>
          <w:lang w:eastAsia="zh-CN"/>
        </w:rPr>
      </w:pPr>
      <w:r>
        <w:rPr>
          <w:rFonts w:hint="eastAsia" w:ascii="仿宋_GB2312" w:eastAsia="仿宋_GB2312"/>
          <w:b/>
          <w:color w:val="000000" w:themeColor="text1"/>
          <w:sz w:val="32"/>
          <w:szCs w:val="32"/>
          <w:lang w:val="en-US" w:eastAsia="zh-CN"/>
        </w:rPr>
        <w:t>9</w:t>
      </w:r>
      <w:r>
        <w:rPr>
          <w:rFonts w:hint="eastAsia" w:ascii="仿宋_GB2312" w:hAnsi="仿宋" w:eastAsia="仿宋_GB2312"/>
          <w:b/>
          <w:color w:val="000000" w:themeColor="text1"/>
          <w:sz w:val="32"/>
          <w:szCs w:val="32"/>
        </w:rPr>
        <w:t>.</w:t>
      </w:r>
      <w:r>
        <w:rPr>
          <w:rFonts w:hint="eastAsia" w:ascii="仿宋_GB2312" w:hAnsi="仿宋" w:eastAsia="仿宋_GB2312"/>
          <w:b/>
          <w:bCs/>
          <w:color w:val="000000" w:themeColor="text1"/>
          <w:sz w:val="32"/>
          <w:szCs w:val="32"/>
        </w:rPr>
        <w:t>住房保障支出</w:t>
      </w:r>
      <w:r>
        <w:rPr>
          <w:rFonts w:hint="eastAsia" w:ascii="仿宋_GB2312" w:hAnsi="仿宋" w:eastAsia="仿宋_GB2312"/>
          <w:b/>
          <w:color w:val="000000" w:themeColor="text1"/>
          <w:sz w:val="32"/>
          <w:szCs w:val="32"/>
        </w:rPr>
        <w:t>（类）住房改革支出（款）</w:t>
      </w:r>
      <w:r>
        <w:rPr>
          <w:rFonts w:hint="eastAsia" w:ascii="仿宋_GB2312" w:hAnsi="仿宋" w:eastAsia="仿宋_GB2312"/>
          <w:b/>
          <w:color w:val="000000" w:themeColor="text1"/>
          <w:sz w:val="32"/>
          <w:szCs w:val="32"/>
          <w:lang w:eastAsia="zh-CN"/>
        </w:rPr>
        <w:t>提租补贴</w:t>
      </w:r>
      <w:r>
        <w:rPr>
          <w:rFonts w:hint="eastAsia" w:ascii="仿宋_GB2312" w:hAnsi="仿宋" w:eastAsia="仿宋_GB2312"/>
          <w:b/>
          <w:color w:val="000000" w:themeColor="text1"/>
          <w:sz w:val="32"/>
          <w:szCs w:val="32"/>
        </w:rPr>
        <w:t>（项）</w:t>
      </w:r>
      <w:r>
        <w:rPr>
          <w:rFonts w:hint="eastAsia" w:ascii="TimesNewRoman" w:hAnsi="TimesNewRoman" w:eastAsia="仿宋_GB2312" w:cs="TimesNewRoman"/>
          <w:color w:val="000000" w:themeColor="text1"/>
          <w:kern w:val="0"/>
          <w:sz w:val="32"/>
          <w:szCs w:val="32"/>
          <w:lang w:eastAsia="zh-CN"/>
        </w:rPr>
        <w:t>202</w:t>
      </w:r>
      <w:r>
        <w:rPr>
          <w:rFonts w:hint="eastAsia" w:ascii="TimesNewRoman" w:hAnsi="TimesNewRoman" w:eastAsia="仿宋_GB2312" w:cs="TimesNewRoman"/>
          <w:color w:val="000000" w:themeColor="text1"/>
          <w:kern w:val="0"/>
          <w:sz w:val="32"/>
          <w:szCs w:val="32"/>
          <w:lang w:val="en-US" w:eastAsia="zh-CN"/>
        </w:rPr>
        <w:t>4</w:t>
      </w:r>
      <w:r>
        <w:rPr>
          <w:rFonts w:hint="eastAsia" w:ascii="TimesNewRoman" w:hAnsi="TimesNewRoman" w:eastAsia="仿宋_GB2312" w:cs="TimesNewRoman"/>
          <w:color w:val="000000" w:themeColor="text1"/>
          <w:kern w:val="0"/>
          <w:sz w:val="32"/>
          <w:szCs w:val="32"/>
          <w:lang w:eastAsia="zh-CN"/>
        </w:rPr>
        <w:t>年预算</w:t>
      </w:r>
      <w:r>
        <w:rPr>
          <w:rFonts w:hint="eastAsia" w:ascii="TimesNewRoman" w:hAnsi="TimesNewRoman" w:eastAsia="仿宋_GB2312" w:cs="TimesNewRoman"/>
          <w:color w:val="000000" w:themeColor="text1"/>
          <w:kern w:val="0"/>
          <w:sz w:val="32"/>
          <w:szCs w:val="32"/>
          <w:lang w:val="en-US" w:eastAsia="zh-CN"/>
        </w:rPr>
        <w:t>0.87</w:t>
      </w:r>
      <w:r>
        <w:rPr>
          <w:rFonts w:hint="eastAsia" w:ascii="TimesNewRoman" w:hAnsi="TimesNewRoman" w:eastAsia="仿宋_GB2312" w:cs="TimesNewRoman"/>
          <w:color w:val="000000" w:themeColor="text1"/>
          <w:kern w:val="0"/>
          <w:sz w:val="32"/>
          <w:szCs w:val="32"/>
          <w:lang w:eastAsia="zh-CN"/>
        </w:rPr>
        <w:t>万元，比202</w:t>
      </w:r>
      <w:r>
        <w:rPr>
          <w:rFonts w:hint="eastAsia" w:ascii="TimesNewRoman" w:hAnsi="TimesNewRoman" w:eastAsia="仿宋_GB2312" w:cs="TimesNewRoman"/>
          <w:color w:val="000000" w:themeColor="text1"/>
          <w:kern w:val="0"/>
          <w:sz w:val="32"/>
          <w:szCs w:val="32"/>
          <w:lang w:val="en-US" w:eastAsia="zh-CN"/>
        </w:rPr>
        <w:t>3</w:t>
      </w:r>
      <w:r>
        <w:rPr>
          <w:rFonts w:hint="eastAsia" w:ascii="TimesNewRoman" w:hAnsi="TimesNewRoman" w:eastAsia="仿宋_GB2312" w:cs="TimesNewRoman"/>
          <w:color w:val="000000" w:themeColor="text1"/>
          <w:kern w:val="0"/>
          <w:sz w:val="32"/>
          <w:szCs w:val="32"/>
          <w:lang w:eastAsia="zh-CN"/>
        </w:rPr>
        <w:t>年预算增加</w:t>
      </w:r>
      <w:r>
        <w:rPr>
          <w:rFonts w:hint="eastAsia" w:ascii="TimesNewRoman" w:hAnsi="TimesNewRoman" w:eastAsia="仿宋_GB2312" w:cs="TimesNewRoman"/>
          <w:color w:val="000000" w:themeColor="text1"/>
          <w:kern w:val="0"/>
          <w:sz w:val="32"/>
          <w:szCs w:val="32"/>
          <w:lang w:val="en-US" w:eastAsia="zh-CN"/>
        </w:rPr>
        <w:t>0.87</w:t>
      </w:r>
      <w:r>
        <w:rPr>
          <w:rFonts w:hint="eastAsia" w:ascii="TimesNewRoman" w:hAnsi="TimesNewRoman" w:eastAsia="仿宋_GB2312" w:cs="TimesNewRoman"/>
          <w:color w:val="000000" w:themeColor="text1"/>
          <w:kern w:val="0"/>
          <w:sz w:val="32"/>
          <w:szCs w:val="32"/>
          <w:lang w:eastAsia="zh-CN"/>
        </w:rPr>
        <w:t>万元，增加</w:t>
      </w:r>
      <w:r>
        <w:rPr>
          <w:rFonts w:hint="eastAsia" w:ascii="TimesNewRoman" w:hAnsi="TimesNewRoman" w:eastAsia="仿宋_GB2312" w:cs="TimesNewRoman"/>
          <w:color w:val="000000" w:themeColor="text1"/>
          <w:kern w:val="0"/>
          <w:sz w:val="32"/>
          <w:szCs w:val="32"/>
          <w:lang w:val="en-US" w:eastAsia="zh-CN"/>
        </w:rPr>
        <w:t>100</w:t>
      </w:r>
      <w:r>
        <w:rPr>
          <w:rFonts w:hint="eastAsia" w:ascii="TimesNewRoman" w:hAnsi="TimesNewRoman" w:eastAsia="仿宋_GB2312" w:cs="TimesNewRoman"/>
          <w:color w:val="000000" w:themeColor="text1"/>
          <w:kern w:val="0"/>
          <w:sz w:val="32"/>
          <w:szCs w:val="32"/>
          <w:lang w:eastAsia="zh-CN"/>
        </w:rPr>
        <w:t>%，原因主要是新增提租补贴费用。</w:t>
      </w:r>
    </w:p>
    <w:p>
      <w:pPr>
        <w:adjustRightInd w:val="0"/>
        <w:snapToGrid w:val="0"/>
        <w:spacing w:line="600" w:lineRule="exact"/>
        <w:ind w:firstLine="643" w:firstLineChars="200"/>
        <w:rPr>
          <w:rFonts w:hint="eastAsia" w:ascii="TimesNewRoman" w:hAnsi="TimesNewRoman" w:eastAsia="仿宋_GB2312" w:cs="TimesNewRoman"/>
          <w:color w:val="000000" w:themeColor="text1"/>
          <w:kern w:val="0"/>
          <w:sz w:val="32"/>
          <w:szCs w:val="32"/>
          <w:lang w:eastAsia="zh-CN"/>
        </w:rPr>
      </w:pPr>
      <w:r>
        <w:rPr>
          <w:rFonts w:hint="eastAsia" w:ascii="仿宋_GB2312" w:hAnsi="仿宋" w:eastAsia="仿宋_GB2312"/>
          <w:b/>
          <w:color w:val="000000" w:themeColor="text1"/>
          <w:sz w:val="32"/>
          <w:szCs w:val="32"/>
          <w:lang w:val="en-US" w:eastAsia="zh-CN"/>
        </w:rPr>
        <w:t>10</w:t>
      </w:r>
      <w:r>
        <w:rPr>
          <w:rFonts w:hint="eastAsia" w:ascii="仿宋_GB2312" w:hAnsi="仿宋" w:eastAsia="仿宋_GB2312"/>
          <w:b/>
          <w:color w:val="000000" w:themeColor="text1"/>
          <w:sz w:val="32"/>
          <w:szCs w:val="32"/>
        </w:rPr>
        <w:t>.</w:t>
      </w:r>
      <w:r>
        <w:rPr>
          <w:rFonts w:hint="eastAsia" w:ascii="仿宋_GB2312" w:hAnsi="仿宋" w:eastAsia="仿宋_GB2312"/>
          <w:b/>
          <w:bCs/>
          <w:color w:val="000000" w:themeColor="text1"/>
          <w:sz w:val="32"/>
          <w:szCs w:val="32"/>
        </w:rPr>
        <w:t>住房保障支出</w:t>
      </w:r>
      <w:r>
        <w:rPr>
          <w:rFonts w:hint="eastAsia" w:ascii="仿宋_GB2312" w:hAnsi="仿宋" w:eastAsia="仿宋_GB2312"/>
          <w:b/>
          <w:color w:val="000000" w:themeColor="text1"/>
          <w:sz w:val="32"/>
          <w:szCs w:val="32"/>
        </w:rPr>
        <w:t>（类）住房改革支出（款）购房补贴（项）</w:t>
      </w:r>
      <w:r>
        <w:rPr>
          <w:rFonts w:hint="eastAsia" w:ascii="TimesNewRoman" w:hAnsi="TimesNewRoman" w:eastAsia="仿宋_GB2312" w:cs="TimesNewRoman"/>
          <w:color w:val="000000" w:themeColor="text1"/>
          <w:kern w:val="0"/>
          <w:sz w:val="32"/>
          <w:szCs w:val="32"/>
          <w:lang w:eastAsia="zh-CN"/>
        </w:rPr>
        <w:t>202</w:t>
      </w:r>
      <w:r>
        <w:rPr>
          <w:rFonts w:hint="eastAsia" w:ascii="TimesNewRoman" w:hAnsi="TimesNewRoman" w:eastAsia="仿宋_GB2312" w:cs="TimesNewRoman"/>
          <w:color w:val="000000" w:themeColor="text1"/>
          <w:kern w:val="0"/>
          <w:sz w:val="32"/>
          <w:szCs w:val="32"/>
          <w:lang w:val="en-US" w:eastAsia="zh-CN"/>
        </w:rPr>
        <w:t>4</w:t>
      </w:r>
      <w:r>
        <w:rPr>
          <w:rFonts w:hint="eastAsia" w:ascii="TimesNewRoman" w:hAnsi="TimesNewRoman" w:eastAsia="仿宋_GB2312" w:cs="TimesNewRoman"/>
          <w:color w:val="000000" w:themeColor="text1"/>
          <w:kern w:val="0"/>
          <w:sz w:val="32"/>
          <w:szCs w:val="32"/>
          <w:lang w:eastAsia="zh-CN"/>
        </w:rPr>
        <w:t>年预算</w:t>
      </w:r>
      <w:r>
        <w:rPr>
          <w:rFonts w:hint="eastAsia" w:ascii="TimesNewRoman" w:hAnsi="TimesNewRoman" w:eastAsia="仿宋_GB2312" w:cs="TimesNewRoman"/>
          <w:color w:val="000000" w:themeColor="text1"/>
          <w:kern w:val="0"/>
          <w:sz w:val="32"/>
          <w:szCs w:val="32"/>
          <w:lang w:val="en-US" w:eastAsia="zh-CN"/>
        </w:rPr>
        <w:t>1.46</w:t>
      </w:r>
      <w:r>
        <w:rPr>
          <w:rFonts w:hint="eastAsia" w:ascii="TimesNewRoman" w:hAnsi="TimesNewRoman" w:eastAsia="仿宋_GB2312" w:cs="TimesNewRoman"/>
          <w:color w:val="000000" w:themeColor="text1"/>
          <w:kern w:val="0"/>
          <w:sz w:val="32"/>
          <w:szCs w:val="32"/>
          <w:lang w:eastAsia="zh-CN"/>
        </w:rPr>
        <w:t>万元，比202</w:t>
      </w:r>
      <w:r>
        <w:rPr>
          <w:rFonts w:hint="eastAsia" w:ascii="TimesNewRoman" w:hAnsi="TimesNewRoman" w:eastAsia="仿宋_GB2312" w:cs="TimesNewRoman"/>
          <w:color w:val="000000" w:themeColor="text1"/>
          <w:kern w:val="0"/>
          <w:sz w:val="32"/>
          <w:szCs w:val="32"/>
          <w:lang w:val="en-US" w:eastAsia="zh-CN"/>
        </w:rPr>
        <w:t>3</w:t>
      </w:r>
      <w:r>
        <w:rPr>
          <w:rFonts w:hint="eastAsia" w:ascii="TimesNewRoman" w:hAnsi="TimesNewRoman" w:eastAsia="仿宋_GB2312" w:cs="TimesNewRoman"/>
          <w:color w:val="000000" w:themeColor="text1"/>
          <w:kern w:val="0"/>
          <w:sz w:val="32"/>
          <w:szCs w:val="32"/>
          <w:lang w:eastAsia="zh-CN"/>
        </w:rPr>
        <w:t>年预算增加</w:t>
      </w:r>
      <w:r>
        <w:rPr>
          <w:rFonts w:hint="eastAsia" w:ascii="TimesNewRoman" w:hAnsi="TimesNewRoman" w:eastAsia="仿宋_GB2312" w:cs="TimesNewRoman"/>
          <w:color w:val="000000" w:themeColor="text1"/>
          <w:kern w:val="0"/>
          <w:sz w:val="32"/>
          <w:szCs w:val="32"/>
          <w:lang w:val="en-US" w:eastAsia="zh-CN"/>
        </w:rPr>
        <w:t>0.2</w:t>
      </w:r>
      <w:r>
        <w:rPr>
          <w:rFonts w:hint="eastAsia" w:ascii="TimesNewRoman" w:hAnsi="TimesNewRoman" w:eastAsia="仿宋_GB2312" w:cs="TimesNewRoman"/>
          <w:color w:val="000000" w:themeColor="text1"/>
          <w:kern w:val="0"/>
          <w:sz w:val="32"/>
          <w:szCs w:val="32"/>
          <w:lang w:eastAsia="zh-CN"/>
        </w:rPr>
        <w:t>万元，增加</w:t>
      </w:r>
      <w:r>
        <w:rPr>
          <w:rFonts w:hint="eastAsia" w:ascii="TimesNewRoman" w:hAnsi="TimesNewRoman" w:eastAsia="仿宋_GB2312" w:cs="TimesNewRoman"/>
          <w:color w:val="000000" w:themeColor="text1"/>
          <w:kern w:val="0"/>
          <w:sz w:val="32"/>
          <w:szCs w:val="32"/>
          <w:lang w:val="en-US" w:eastAsia="zh-CN"/>
        </w:rPr>
        <w:t>15.87</w:t>
      </w:r>
      <w:r>
        <w:rPr>
          <w:rFonts w:hint="eastAsia" w:ascii="TimesNewRoman" w:hAnsi="TimesNewRoman" w:eastAsia="仿宋_GB2312" w:cs="TimesNewRoman"/>
          <w:color w:val="000000" w:themeColor="text1"/>
          <w:kern w:val="0"/>
          <w:sz w:val="32"/>
          <w:szCs w:val="32"/>
          <w:lang w:eastAsia="zh-CN"/>
        </w:rPr>
        <w:t>%，原因主要是</w:t>
      </w:r>
      <w:r>
        <w:rPr>
          <w:rFonts w:hint="eastAsia" w:ascii="TimesNewRoman" w:hAnsi="TimesNewRoman" w:eastAsia="仿宋_GB2312" w:cs="TimesNewRoman"/>
          <w:color w:val="auto"/>
          <w:kern w:val="0"/>
          <w:sz w:val="32"/>
          <w:szCs w:val="32"/>
          <w:lang w:eastAsia="zh-CN"/>
        </w:rPr>
        <w:t>人员经费调整</w:t>
      </w:r>
      <w:r>
        <w:rPr>
          <w:rFonts w:hint="eastAsia" w:ascii="TimesNewRoman" w:hAnsi="TimesNewRoman" w:eastAsia="仿宋_GB2312" w:cs="TimesNewRoman"/>
          <w:color w:val="000000" w:themeColor="text1"/>
          <w:kern w:val="0"/>
          <w:sz w:val="32"/>
          <w:szCs w:val="32"/>
          <w:lang w:eastAsia="zh-CN"/>
        </w:rPr>
        <w:t>。</w:t>
      </w:r>
    </w:p>
    <w:p>
      <w:pPr>
        <w:adjustRightInd w:val="0"/>
        <w:snapToGrid w:val="0"/>
        <w:spacing w:line="600" w:lineRule="exact"/>
        <w:ind w:firstLine="643" w:firstLineChars="200"/>
        <w:rPr>
          <w:rFonts w:hint="eastAsia" w:ascii="TimesNewRoman" w:hAnsi="TimesNewRoman" w:eastAsia="仿宋_GB2312" w:cs="TimesNewRoman"/>
          <w:color w:val="000000" w:themeColor="text1"/>
          <w:kern w:val="0"/>
          <w:sz w:val="32"/>
          <w:szCs w:val="32"/>
          <w:lang w:eastAsia="zh-CN"/>
        </w:rPr>
      </w:pPr>
      <w:r>
        <w:rPr>
          <w:rFonts w:hint="eastAsia" w:ascii="仿宋_GB2312" w:hAnsi="仿宋" w:eastAsia="仿宋_GB2312"/>
          <w:b/>
          <w:color w:val="000000" w:themeColor="text1"/>
          <w:sz w:val="32"/>
          <w:szCs w:val="32"/>
          <w:lang w:val="en-US" w:eastAsia="zh-CN"/>
        </w:rPr>
        <w:t>11</w:t>
      </w:r>
      <w:r>
        <w:rPr>
          <w:rFonts w:hint="eastAsia" w:ascii="仿宋_GB2312" w:hAnsi="仿宋" w:eastAsia="仿宋_GB2312"/>
          <w:b/>
          <w:color w:val="000000" w:themeColor="text1"/>
          <w:sz w:val="32"/>
          <w:szCs w:val="32"/>
        </w:rPr>
        <w:t>.</w:t>
      </w:r>
      <w:r>
        <w:rPr>
          <w:rFonts w:hint="eastAsia" w:ascii="仿宋_GB2312" w:hAnsi="仿宋" w:eastAsia="仿宋_GB2312"/>
          <w:b/>
          <w:bCs/>
          <w:color w:val="000000" w:themeColor="text1"/>
          <w:sz w:val="32"/>
          <w:szCs w:val="32"/>
          <w:lang w:eastAsia="zh-CN"/>
        </w:rPr>
        <w:t>粮油物资储备</w:t>
      </w:r>
      <w:r>
        <w:rPr>
          <w:rFonts w:hint="eastAsia" w:ascii="仿宋_GB2312" w:hAnsi="仿宋" w:eastAsia="仿宋_GB2312"/>
          <w:b/>
          <w:bCs/>
          <w:color w:val="000000" w:themeColor="text1"/>
          <w:sz w:val="32"/>
          <w:szCs w:val="32"/>
        </w:rPr>
        <w:t>支出</w:t>
      </w:r>
      <w:r>
        <w:rPr>
          <w:rFonts w:hint="eastAsia" w:ascii="仿宋_GB2312" w:hAnsi="仿宋" w:eastAsia="仿宋_GB2312"/>
          <w:b/>
          <w:color w:val="000000" w:themeColor="text1"/>
          <w:sz w:val="32"/>
          <w:szCs w:val="32"/>
        </w:rPr>
        <w:t>（类）</w:t>
      </w:r>
      <w:r>
        <w:rPr>
          <w:rFonts w:hint="eastAsia" w:ascii="仿宋_GB2312" w:hAnsi="仿宋" w:eastAsia="仿宋_GB2312"/>
          <w:b/>
          <w:color w:val="000000" w:themeColor="text1"/>
          <w:sz w:val="32"/>
          <w:szCs w:val="32"/>
          <w:lang w:eastAsia="zh-CN"/>
        </w:rPr>
        <w:t>粮油物资事务</w:t>
      </w:r>
      <w:r>
        <w:rPr>
          <w:rFonts w:hint="eastAsia" w:ascii="仿宋_GB2312" w:hAnsi="仿宋" w:eastAsia="仿宋_GB2312"/>
          <w:b/>
          <w:color w:val="000000" w:themeColor="text1"/>
          <w:sz w:val="32"/>
          <w:szCs w:val="32"/>
        </w:rPr>
        <w:t>（款）</w:t>
      </w:r>
      <w:r>
        <w:rPr>
          <w:rFonts w:hint="eastAsia" w:ascii="仿宋_GB2312" w:hAnsi="仿宋" w:eastAsia="仿宋_GB2312"/>
          <w:b/>
          <w:color w:val="000000" w:themeColor="text1"/>
          <w:sz w:val="32"/>
          <w:szCs w:val="32"/>
          <w:lang w:eastAsia="zh-CN"/>
        </w:rPr>
        <w:t>事业运行</w:t>
      </w:r>
      <w:r>
        <w:rPr>
          <w:rFonts w:hint="eastAsia" w:ascii="仿宋_GB2312" w:hAnsi="仿宋" w:eastAsia="仿宋_GB2312"/>
          <w:b/>
          <w:color w:val="000000" w:themeColor="text1"/>
          <w:sz w:val="32"/>
          <w:szCs w:val="32"/>
        </w:rPr>
        <w:t>（项）</w:t>
      </w:r>
      <w:r>
        <w:rPr>
          <w:rFonts w:hint="eastAsia" w:ascii="TimesNewRoman" w:hAnsi="TimesNewRoman" w:eastAsia="仿宋_GB2312" w:cs="TimesNewRoman"/>
          <w:color w:val="000000" w:themeColor="text1"/>
          <w:kern w:val="0"/>
          <w:sz w:val="32"/>
          <w:szCs w:val="32"/>
          <w:lang w:eastAsia="zh-CN"/>
        </w:rPr>
        <w:t>202</w:t>
      </w:r>
      <w:r>
        <w:rPr>
          <w:rFonts w:hint="eastAsia" w:ascii="TimesNewRoman" w:hAnsi="TimesNewRoman" w:eastAsia="仿宋_GB2312" w:cs="TimesNewRoman"/>
          <w:color w:val="000000" w:themeColor="text1"/>
          <w:kern w:val="0"/>
          <w:sz w:val="32"/>
          <w:szCs w:val="32"/>
          <w:lang w:val="en-US" w:eastAsia="zh-CN"/>
        </w:rPr>
        <w:t>4</w:t>
      </w:r>
      <w:r>
        <w:rPr>
          <w:rFonts w:hint="eastAsia" w:ascii="TimesNewRoman" w:hAnsi="TimesNewRoman" w:eastAsia="仿宋_GB2312" w:cs="TimesNewRoman"/>
          <w:color w:val="000000" w:themeColor="text1"/>
          <w:kern w:val="0"/>
          <w:sz w:val="32"/>
          <w:szCs w:val="32"/>
          <w:lang w:eastAsia="zh-CN"/>
        </w:rPr>
        <w:t>年预算</w:t>
      </w:r>
      <w:r>
        <w:rPr>
          <w:rFonts w:hint="eastAsia" w:ascii="TimesNewRoman" w:hAnsi="TimesNewRoman" w:eastAsia="仿宋_GB2312" w:cs="TimesNewRoman"/>
          <w:color w:val="000000" w:themeColor="text1"/>
          <w:kern w:val="0"/>
          <w:sz w:val="32"/>
          <w:szCs w:val="32"/>
          <w:lang w:val="en-US" w:eastAsia="zh-CN"/>
        </w:rPr>
        <w:t>0.17</w:t>
      </w:r>
      <w:r>
        <w:rPr>
          <w:rFonts w:hint="eastAsia" w:ascii="TimesNewRoman" w:hAnsi="TimesNewRoman" w:eastAsia="仿宋_GB2312" w:cs="TimesNewRoman"/>
          <w:color w:val="000000" w:themeColor="text1"/>
          <w:kern w:val="0"/>
          <w:sz w:val="32"/>
          <w:szCs w:val="32"/>
          <w:lang w:eastAsia="zh-CN"/>
        </w:rPr>
        <w:t>万元，比202</w:t>
      </w:r>
      <w:r>
        <w:rPr>
          <w:rFonts w:hint="eastAsia" w:ascii="TimesNewRoman" w:hAnsi="TimesNewRoman" w:eastAsia="仿宋_GB2312" w:cs="TimesNewRoman"/>
          <w:color w:val="000000" w:themeColor="text1"/>
          <w:kern w:val="0"/>
          <w:sz w:val="32"/>
          <w:szCs w:val="32"/>
          <w:lang w:val="en-US" w:eastAsia="zh-CN"/>
        </w:rPr>
        <w:t>3</w:t>
      </w:r>
      <w:r>
        <w:rPr>
          <w:rFonts w:hint="eastAsia" w:ascii="TimesNewRoman" w:hAnsi="TimesNewRoman" w:eastAsia="仿宋_GB2312" w:cs="TimesNewRoman"/>
          <w:color w:val="000000" w:themeColor="text1"/>
          <w:kern w:val="0"/>
          <w:sz w:val="32"/>
          <w:szCs w:val="32"/>
          <w:lang w:eastAsia="zh-CN"/>
        </w:rPr>
        <w:t>年预算增加</w:t>
      </w:r>
      <w:r>
        <w:rPr>
          <w:rFonts w:hint="eastAsia" w:ascii="TimesNewRoman" w:hAnsi="TimesNewRoman" w:eastAsia="仿宋_GB2312" w:cs="TimesNewRoman"/>
          <w:color w:val="000000" w:themeColor="text1"/>
          <w:kern w:val="0"/>
          <w:sz w:val="32"/>
          <w:szCs w:val="32"/>
          <w:lang w:val="en-US" w:eastAsia="zh-CN"/>
        </w:rPr>
        <w:t>0.17</w:t>
      </w:r>
      <w:r>
        <w:rPr>
          <w:rFonts w:hint="eastAsia" w:ascii="TimesNewRoman" w:hAnsi="TimesNewRoman" w:eastAsia="仿宋_GB2312" w:cs="TimesNewRoman"/>
          <w:color w:val="000000" w:themeColor="text1"/>
          <w:kern w:val="0"/>
          <w:sz w:val="32"/>
          <w:szCs w:val="32"/>
          <w:lang w:eastAsia="zh-CN"/>
        </w:rPr>
        <w:t>万元，增加</w:t>
      </w:r>
      <w:r>
        <w:rPr>
          <w:rFonts w:hint="eastAsia" w:ascii="TimesNewRoman" w:hAnsi="TimesNewRoman" w:eastAsia="仿宋_GB2312" w:cs="TimesNewRoman"/>
          <w:color w:val="000000" w:themeColor="text1"/>
          <w:kern w:val="0"/>
          <w:sz w:val="32"/>
          <w:szCs w:val="32"/>
          <w:lang w:val="en-US" w:eastAsia="zh-CN"/>
        </w:rPr>
        <w:t>100</w:t>
      </w:r>
      <w:r>
        <w:rPr>
          <w:rFonts w:hint="eastAsia" w:ascii="TimesNewRoman" w:hAnsi="TimesNewRoman" w:eastAsia="仿宋_GB2312" w:cs="TimesNewRoman"/>
          <w:color w:val="000000" w:themeColor="text1"/>
          <w:kern w:val="0"/>
          <w:sz w:val="32"/>
          <w:szCs w:val="32"/>
          <w:lang w:eastAsia="zh-CN"/>
        </w:rPr>
        <w:t>%，原因主要是功能科目调整。</w:t>
      </w:r>
    </w:p>
    <w:p>
      <w:pPr>
        <w:pStyle w:val="7"/>
        <w:adjustRightInd w:val="0"/>
        <w:snapToGrid w:val="0"/>
        <w:spacing w:line="560" w:lineRule="exact"/>
        <w:ind w:firstLine="640" w:firstLineChars="200"/>
        <w:rPr>
          <w:rFonts w:ascii="TimesNewRoman" w:hAnsi="TimesNewRoman" w:eastAsia="黑体" w:cs="TimesNewRoman"/>
          <w:bCs/>
          <w:sz w:val="32"/>
          <w:szCs w:val="32"/>
        </w:rPr>
      </w:pPr>
      <w:r>
        <w:rPr>
          <w:rFonts w:hint="eastAsia" w:ascii="TimesNewRoman" w:hAnsi="TimesNewRoman" w:eastAsia="黑体" w:cs="TimesNewRoman"/>
          <w:bCs/>
          <w:sz w:val="32"/>
          <w:szCs w:val="32"/>
        </w:rPr>
        <w:t>六、关于2024年一般公共预算基本支出表的说明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地价管理所</w:t>
      </w:r>
      <w:r>
        <w:rPr>
          <w:rFonts w:hint="eastAsia" w:ascii="TimesNewRoman" w:hAnsi="TimesNewRoman" w:eastAsia="仿宋_GB2312" w:cs="TimesNewRoman"/>
          <w:kern w:val="0"/>
          <w:sz w:val="32"/>
          <w:szCs w:val="32"/>
        </w:rPr>
        <w:t>2024年一般公共预算基本支出</w:t>
      </w:r>
      <w:r>
        <w:rPr>
          <w:rFonts w:hint="eastAsia" w:ascii="TimesNewRoman" w:hAnsi="TimesNewRoman" w:eastAsia="仿宋_GB2312" w:cs="TimesNewRoman"/>
          <w:kern w:val="0"/>
          <w:sz w:val="32"/>
          <w:szCs w:val="32"/>
          <w:lang w:val="en-US" w:eastAsia="zh-CN"/>
        </w:rPr>
        <w:t>42.63</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36.73</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5.90</w:t>
      </w:r>
      <w:r>
        <w:rPr>
          <w:rFonts w:hint="eastAsia" w:ascii="TimesNewRoman" w:hAnsi="TimesNewRoman" w:eastAsia="仿宋_GB2312" w:cs="TimesNewRoman"/>
          <w:kern w:val="0"/>
          <w:sz w:val="32"/>
          <w:szCs w:val="32"/>
        </w:rPr>
        <w:t>万元。</w:t>
      </w:r>
    </w:p>
    <w:p>
      <w:pPr>
        <w:numPr>
          <w:ilvl w:val="0"/>
          <w:numId w:val="1"/>
        </w:numPr>
        <w:ind w:firstLine="643" w:firstLineChars="200"/>
        <w:rPr>
          <w:rFonts w:hint="eastAsia" w:ascii="TimesNewRoman" w:hAnsi="TimesNewRoman" w:eastAsia="仿宋_GB2312" w:cs="TimesNewRoman"/>
          <w:color w:val="auto"/>
          <w:kern w:val="0"/>
          <w:sz w:val="32"/>
          <w:szCs w:val="32"/>
          <w:lang w:eastAsia="zh-CN"/>
        </w:rPr>
      </w:pPr>
      <w:r>
        <w:rPr>
          <w:rFonts w:hint="eastAsia" w:ascii="TimesNewRoman" w:hAnsi="TimesNewRoman" w:eastAsia="仿宋_GB2312" w:cs="TimesNewRoman"/>
          <w:b/>
          <w:kern w:val="0"/>
          <w:sz w:val="32"/>
          <w:szCs w:val="32"/>
        </w:rPr>
        <w:t>人员经费</w:t>
      </w:r>
      <w:r>
        <w:rPr>
          <w:rFonts w:hint="eastAsia" w:ascii="TimesNewRoman" w:hAnsi="TimesNewRoman" w:eastAsia="仿宋_GB2312" w:cs="TimesNewRoman"/>
          <w:b/>
          <w:kern w:val="0"/>
          <w:sz w:val="32"/>
          <w:szCs w:val="32"/>
          <w:lang w:val="en-US" w:eastAsia="zh-CN"/>
        </w:rPr>
        <w:t>36.73</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color w:val="auto"/>
          <w:kern w:val="0"/>
          <w:sz w:val="32"/>
          <w:szCs w:val="32"/>
        </w:rPr>
        <w:t>主要包括:基本工资、奖金、绩效工资、机关事业单位基本养老保险费、职业年金缴费、职工基本医疗保险缴费、公务员医疗补助缴费、其他社会保障缴费、住房公积金、</w:t>
      </w:r>
      <w:r>
        <w:rPr>
          <w:rFonts w:hint="eastAsia" w:ascii="TimesNewRoman" w:hAnsi="TimesNewRoman" w:eastAsia="仿宋_GB2312" w:cs="TimesNewRoman"/>
          <w:color w:val="auto"/>
          <w:kern w:val="0"/>
          <w:sz w:val="32"/>
          <w:szCs w:val="32"/>
          <w:lang w:eastAsia="zh-CN"/>
        </w:rPr>
        <w:t>办公费、工会经费、福利费、公务用车运行维护费、其他商品和服务支出、退休费、医疗费补助、其他对个人和家庭的补助</w:t>
      </w:r>
      <w:r>
        <w:rPr>
          <w:rFonts w:hint="eastAsia" w:ascii="TimesNewRoman" w:hAnsi="TimesNewRoman" w:eastAsia="仿宋_GB2312" w:cs="TimesNewRoman"/>
          <w:color w:val="auto"/>
          <w:kern w:val="0"/>
          <w:sz w:val="32"/>
          <w:szCs w:val="32"/>
        </w:rPr>
        <w:t>。</w:t>
      </w:r>
    </w:p>
    <w:p>
      <w:pPr>
        <w:numPr>
          <w:ilvl w:val="0"/>
          <w:numId w:val="0"/>
        </w:numPr>
        <w:ind w:firstLine="643" w:firstLineChars="200"/>
        <w:rPr>
          <w:rFonts w:hint="default" w:ascii="TimesNewRoman" w:hAnsi="TimesNewRoman" w:eastAsia="仿宋_GB2312" w:cs="TimesNewRoman"/>
          <w:color w:val="FF0000"/>
          <w:kern w:val="0"/>
          <w:sz w:val="32"/>
          <w:szCs w:val="32"/>
          <w:lang w:val="en-US" w:eastAsia="zh-CN"/>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5.90</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w:t>
      </w:r>
      <w:r>
        <w:rPr>
          <w:rFonts w:hint="eastAsia" w:ascii="TimesNewRoman" w:hAnsi="TimesNewRoman" w:eastAsia="仿宋_GB2312" w:cs="TimesNewRoman"/>
          <w:color w:val="auto"/>
          <w:kern w:val="0"/>
          <w:sz w:val="32"/>
          <w:szCs w:val="32"/>
        </w:rPr>
        <w:t>：</w:t>
      </w:r>
      <w:r>
        <w:rPr>
          <w:rFonts w:hint="eastAsia" w:ascii="TimesNewRoman" w:hAnsi="TimesNewRoman" w:eastAsia="仿宋_GB2312" w:cs="TimesNewRoman"/>
          <w:color w:val="auto"/>
          <w:kern w:val="0"/>
          <w:sz w:val="32"/>
          <w:szCs w:val="32"/>
          <w:lang w:eastAsia="zh-CN"/>
        </w:rPr>
        <w:t>公务用车运行维护费、其他商品和服务支出</w:t>
      </w:r>
      <w:r>
        <w:rPr>
          <w:rFonts w:hint="eastAsia" w:ascii="TimesNewRoman" w:hAnsi="TimesNewRoman" w:eastAsia="仿宋_GB2312" w:cs="TimesNewRoman"/>
          <w:color w:val="auto"/>
          <w:kern w:val="0"/>
          <w:sz w:val="32"/>
          <w:szCs w:val="32"/>
        </w:rPr>
        <w:t>。</w:t>
      </w:r>
    </w:p>
    <w:p>
      <w:pPr>
        <w:pStyle w:val="7"/>
        <w:adjustRightInd w:val="0"/>
        <w:snapToGrid w:val="0"/>
        <w:spacing w:line="560" w:lineRule="exact"/>
        <w:ind w:firstLine="640" w:firstLineChars="200"/>
        <w:rPr>
          <w:rFonts w:ascii="TimesNewRoman" w:hAnsi="TimesNewRoman" w:eastAsia="黑体" w:cs="TimesNewRoman"/>
          <w:bCs/>
          <w:sz w:val="32"/>
          <w:szCs w:val="32"/>
        </w:rPr>
      </w:pPr>
      <w:r>
        <w:rPr>
          <w:rFonts w:hint="eastAsia" w:ascii="TimesNewRoman" w:hAnsi="TimesNewRoman" w:eastAsia="黑体" w:cs="TimesNewRoman"/>
          <w:bCs/>
          <w:sz w:val="32"/>
          <w:szCs w:val="32"/>
        </w:rPr>
        <w:t>七、关于2024年政府性基金预算支出表的说明</w:t>
      </w:r>
    </w:p>
    <w:p>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地价管理所</w:t>
      </w:r>
      <w:r>
        <w:rPr>
          <w:rFonts w:hint="eastAsia" w:ascii="TimesNewRoman" w:hAnsi="TimesNewRoman" w:eastAsia="仿宋_GB2312" w:cs="TimesNewRoman"/>
          <w:kern w:val="0"/>
          <w:sz w:val="32"/>
          <w:szCs w:val="32"/>
        </w:rPr>
        <w:t>2024年政府性基金支出</w:t>
      </w:r>
      <w:r>
        <w:rPr>
          <w:rFonts w:hint="eastAsia" w:ascii="TimesNewRoman" w:hAnsi="TimesNewRoman" w:eastAsia="仿宋_GB2312" w:cs="TimesNewRoman"/>
          <w:kern w:val="0"/>
          <w:sz w:val="32"/>
          <w:szCs w:val="32"/>
          <w:lang w:val="en-US" w:eastAsia="zh-CN"/>
        </w:rPr>
        <w:t>64.76</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29.84</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31.54</w:t>
      </w:r>
      <w:r>
        <w:rPr>
          <w:rFonts w:hint="eastAsia" w:ascii="TimesNewRoman" w:hAnsi="TimesNewRoman" w:eastAsia="仿宋_GB2312" w:cs="TimesNewRoman"/>
          <w:kern w:val="0"/>
          <w:sz w:val="32"/>
          <w:szCs w:val="32"/>
        </w:rPr>
        <w:t>%，</w:t>
      </w:r>
      <w:r>
        <w:rPr>
          <w:rFonts w:hint="eastAsia" w:ascii="TimesNewRoman" w:hAnsi="TimesNewRoman" w:eastAsia="仿宋_GB2312" w:cs="TimesNewRoman"/>
          <w:color w:val="auto"/>
          <w:kern w:val="0"/>
          <w:sz w:val="32"/>
          <w:szCs w:val="32"/>
        </w:rPr>
        <w:t>主要原因是</w:t>
      </w:r>
      <w:r>
        <w:rPr>
          <w:rFonts w:hint="eastAsia" w:ascii="TimesNewRoman" w:hAnsi="TimesNewRoman" w:eastAsia="仿宋_GB2312" w:cs="TimesNewRoman"/>
          <w:color w:val="auto"/>
          <w:kern w:val="0"/>
          <w:sz w:val="32"/>
          <w:szCs w:val="32"/>
          <w:lang w:val="en-US" w:eastAsia="zh-CN"/>
        </w:rPr>
        <w:t>项目支出减少</w:t>
      </w:r>
      <w:r>
        <w:rPr>
          <w:rFonts w:hint="eastAsia" w:ascii="TimesNewRoman" w:hAnsi="TimesNewRoman" w:eastAsia="仿宋_GB2312" w:cs="TimesNewRoman"/>
          <w:color w:val="auto"/>
          <w:kern w:val="0"/>
          <w:sz w:val="32"/>
          <w:szCs w:val="32"/>
          <w:lang w:eastAsia="zh-CN"/>
        </w:rPr>
        <w:t>；财政专户管理资金收入</w:t>
      </w:r>
      <w:r>
        <w:rPr>
          <w:rFonts w:hint="eastAsia" w:ascii="TimesNewRoman" w:hAnsi="TimesNewRoman" w:eastAsia="仿宋_GB2312" w:cs="TimesNewRoman"/>
          <w:color w:val="auto"/>
          <w:kern w:val="0"/>
          <w:sz w:val="32"/>
          <w:szCs w:val="32"/>
          <w:lang w:val="en-US" w:eastAsia="zh-CN"/>
        </w:rPr>
        <w:t>0万元，占0</w:t>
      </w:r>
      <w:r>
        <w:rPr>
          <w:rFonts w:hint="eastAsia" w:ascii="TimesNewRoman" w:hAnsi="TimesNewRoman" w:eastAsia="仿宋_GB2312" w:cs="TimesNewRoman"/>
          <w:color w:val="auto"/>
          <w:kern w:val="0"/>
          <w:sz w:val="32"/>
          <w:szCs w:val="32"/>
        </w:rPr>
        <w:t>%</w:t>
      </w:r>
      <w:r>
        <w:rPr>
          <w:rFonts w:hint="eastAsia" w:ascii="TimesNewRoman" w:hAnsi="TimesNewRoman" w:eastAsia="仿宋_GB2312" w:cs="TimesNewRoman"/>
          <w:color w:val="auto"/>
          <w:kern w:val="0"/>
          <w:sz w:val="32"/>
          <w:szCs w:val="32"/>
          <w:lang w:eastAsia="zh-CN"/>
        </w:rPr>
        <w:t>，与</w:t>
      </w:r>
      <w:r>
        <w:rPr>
          <w:rFonts w:hint="eastAsia" w:ascii="TimesNewRoman" w:hAnsi="TimesNewRoman" w:eastAsia="仿宋_GB2312" w:cs="TimesNewRoman"/>
          <w:color w:val="auto"/>
          <w:kern w:val="0"/>
          <w:sz w:val="32"/>
          <w:szCs w:val="32"/>
          <w:lang w:val="en-US" w:eastAsia="zh-CN"/>
        </w:rPr>
        <w:t>2023年预算一致</w:t>
      </w:r>
      <w:r>
        <w:rPr>
          <w:rFonts w:hint="eastAsia" w:ascii="TimesNewRoman" w:hAnsi="TimesNewRoman" w:eastAsia="仿宋_GB2312" w:cs="TimesNewRoman"/>
          <w:kern w:val="0"/>
          <w:sz w:val="32"/>
          <w:szCs w:val="32"/>
        </w:rPr>
        <w:t>，</w:t>
      </w:r>
      <w:r>
        <w:rPr>
          <w:rFonts w:hint="eastAsia" w:ascii="TimesNewRoman" w:hAnsi="TimesNewRoman" w:eastAsia="仿宋_GB2312" w:cs="TimesNewRoman"/>
          <w:color w:val="auto"/>
          <w:kern w:val="0"/>
          <w:sz w:val="32"/>
          <w:szCs w:val="32"/>
        </w:rPr>
        <w:t>主要原因是</w:t>
      </w:r>
      <w:r>
        <w:rPr>
          <w:rFonts w:hint="eastAsia" w:ascii="TimesNewRoman" w:hAnsi="TimesNewRoman" w:eastAsia="仿宋_GB2312" w:cs="TimesNewRoman"/>
          <w:kern w:val="0"/>
          <w:sz w:val="32"/>
          <w:szCs w:val="32"/>
          <w:lang w:eastAsia="zh-CN"/>
        </w:rPr>
        <w:t>本年度未安排</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color w:val="auto"/>
          <w:kern w:val="0"/>
          <w:sz w:val="32"/>
          <w:szCs w:val="32"/>
          <w:lang w:val="en-US" w:eastAsia="zh-CN"/>
        </w:rPr>
        <w:t>。占</w:t>
      </w:r>
      <w:r>
        <w:rPr>
          <w:rFonts w:hint="eastAsia" w:ascii="TimesNewRoman" w:hAnsi="TimesNewRoman" w:eastAsia="仿宋_GB2312" w:cs="TimesNewRoman"/>
          <w:color w:val="auto"/>
          <w:kern w:val="0"/>
          <w:sz w:val="32"/>
          <w:szCs w:val="32"/>
        </w:rPr>
        <w:t>具体情况如下：</w:t>
      </w:r>
    </w:p>
    <w:p>
      <w:pPr>
        <w:ind w:firstLine="643"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kern w:val="0"/>
          <w:sz w:val="32"/>
          <w:szCs w:val="32"/>
          <w:shd w:val="clear" w:color="auto" w:fill="auto"/>
        </w:rPr>
        <w:t>（一）</w:t>
      </w:r>
      <w:r>
        <w:rPr>
          <w:rFonts w:hint="eastAsia" w:ascii="TimesNewRoman" w:hAnsi="TimesNewRoman" w:eastAsia="仿宋_GB2312" w:cs="TimesNewRoman"/>
          <w:b/>
          <w:kern w:val="0"/>
          <w:sz w:val="32"/>
          <w:szCs w:val="32"/>
          <w:shd w:val="clear" w:color="auto" w:fill="auto"/>
          <w:lang w:eastAsia="zh-CN"/>
        </w:rPr>
        <w:t>城乡社区支出</w:t>
      </w:r>
      <w:r>
        <w:rPr>
          <w:rFonts w:hint="eastAsia" w:ascii="TimesNewRoman" w:hAnsi="TimesNewRoman" w:eastAsia="仿宋_GB2312" w:cs="TimesNewRoman"/>
          <w:b/>
          <w:kern w:val="0"/>
          <w:sz w:val="32"/>
          <w:szCs w:val="32"/>
          <w:shd w:val="clear" w:color="auto" w:fill="auto"/>
        </w:rPr>
        <w:t>（类）</w:t>
      </w:r>
      <w:r>
        <w:rPr>
          <w:rFonts w:hint="eastAsia" w:ascii="TimesNewRoman" w:hAnsi="TimesNewRoman" w:eastAsia="仿宋_GB2312" w:cs="TimesNewRoman"/>
          <w:b/>
          <w:kern w:val="0"/>
          <w:sz w:val="32"/>
          <w:szCs w:val="32"/>
          <w:shd w:val="clear" w:color="auto" w:fill="auto"/>
          <w:lang w:eastAsia="zh-CN"/>
        </w:rPr>
        <w:t>国有土地使用权出让收入安排的支出</w:t>
      </w:r>
      <w:r>
        <w:rPr>
          <w:rFonts w:hint="eastAsia" w:ascii="TimesNewRoman" w:hAnsi="TimesNewRoman" w:eastAsia="仿宋_GB2312" w:cs="TimesNewRoman"/>
          <w:b/>
          <w:kern w:val="0"/>
          <w:sz w:val="32"/>
          <w:szCs w:val="32"/>
          <w:shd w:val="clear" w:color="auto" w:fill="auto"/>
        </w:rPr>
        <w:t>（款）</w:t>
      </w:r>
      <w:r>
        <w:rPr>
          <w:rFonts w:hint="eastAsia" w:ascii="TimesNewRoman" w:hAnsi="TimesNewRoman" w:eastAsia="仿宋_GB2312" w:cs="TimesNewRoman"/>
          <w:b/>
          <w:kern w:val="0"/>
          <w:sz w:val="32"/>
          <w:szCs w:val="32"/>
          <w:shd w:val="clear" w:color="auto" w:fill="auto"/>
          <w:lang w:eastAsia="zh-CN"/>
        </w:rPr>
        <w:t>土地出让业务支出</w:t>
      </w:r>
      <w:r>
        <w:rPr>
          <w:rFonts w:hint="eastAsia" w:ascii="TimesNewRoman" w:hAnsi="TimesNewRoman" w:eastAsia="仿宋_GB2312" w:cs="TimesNewRoman"/>
          <w:b/>
          <w:kern w:val="0"/>
          <w:sz w:val="32"/>
          <w:szCs w:val="32"/>
          <w:shd w:val="clear" w:color="auto" w:fill="auto"/>
        </w:rPr>
        <w:t>（项）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64.76</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减少</w:t>
      </w:r>
      <w:r>
        <w:rPr>
          <w:rFonts w:hint="eastAsia" w:ascii="TimesNewRoman" w:hAnsi="TimesNewRoman" w:eastAsia="仿宋_GB2312" w:cs="TimesNewRoman"/>
          <w:kern w:val="0"/>
          <w:sz w:val="32"/>
          <w:szCs w:val="32"/>
          <w:shd w:val="clear" w:color="auto" w:fill="auto"/>
          <w:lang w:val="en-US" w:eastAsia="zh-CN"/>
        </w:rPr>
        <w:t>29.84</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下降</w:t>
      </w:r>
      <w:r>
        <w:rPr>
          <w:rFonts w:hint="eastAsia" w:ascii="TimesNewRoman" w:hAnsi="TimesNewRoman" w:eastAsia="仿宋_GB2312" w:cs="TimesNewRoman"/>
          <w:kern w:val="0"/>
          <w:sz w:val="32"/>
          <w:szCs w:val="32"/>
          <w:shd w:val="clear" w:color="auto" w:fill="auto"/>
          <w:lang w:val="en-US" w:eastAsia="zh-CN"/>
        </w:rPr>
        <w:t>31.54</w:t>
      </w:r>
      <w:r>
        <w:rPr>
          <w:rFonts w:hint="eastAsia" w:ascii="TimesNewRoman" w:hAnsi="TimesNewRoman" w:eastAsia="仿宋_GB2312" w:cs="TimesNewRoman"/>
          <w:kern w:val="0"/>
          <w:sz w:val="32"/>
          <w:szCs w:val="32"/>
          <w:shd w:val="clear" w:color="auto" w:fill="auto"/>
        </w:rPr>
        <w:t>%，原因主要</w:t>
      </w:r>
      <w:r>
        <w:rPr>
          <w:rFonts w:hint="eastAsia" w:ascii="TimesNewRoman" w:hAnsi="TimesNewRoman" w:eastAsia="仿宋_GB2312" w:cs="TimesNewRoman"/>
          <w:kern w:val="0"/>
          <w:sz w:val="32"/>
          <w:szCs w:val="32"/>
        </w:rPr>
        <w:t>是</w:t>
      </w:r>
      <w:r>
        <w:rPr>
          <w:rFonts w:hint="eastAsia" w:ascii="TimesNewRoman" w:hAnsi="TimesNewRoman" w:eastAsia="仿宋_GB2312" w:cs="TimesNewRoman"/>
          <w:kern w:val="0"/>
          <w:sz w:val="32"/>
          <w:szCs w:val="32"/>
          <w:lang w:eastAsia="zh-CN"/>
        </w:rPr>
        <w:t>项目支出减少</w:t>
      </w:r>
      <w:r>
        <w:rPr>
          <w:rFonts w:hint="eastAsia" w:ascii="TimesNewRoman" w:hAnsi="TimesNewRoman" w:eastAsia="仿宋_GB2312" w:cs="TimesNewRoman"/>
          <w:kern w:val="0"/>
          <w:sz w:val="32"/>
          <w:szCs w:val="32"/>
          <w:shd w:val="clear" w:color="auto" w:fill="auto"/>
        </w:rPr>
        <w:t>。</w:t>
      </w:r>
    </w:p>
    <w:p>
      <w:pPr>
        <w:pStyle w:val="7"/>
        <w:adjustRightInd w:val="0"/>
        <w:snapToGrid w:val="0"/>
        <w:spacing w:line="560" w:lineRule="exact"/>
        <w:ind w:firstLine="640" w:firstLineChars="200"/>
        <w:rPr>
          <w:rFonts w:ascii="TimesNewRoman" w:hAnsi="TimesNewRoman" w:eastAsia="黑体" w:cs="TimesNewRoman"/>
          <w:bCs/>
          <w:sz w:val="32"/>
          <w:szCs w:val="32"/>
        </w:rPr>
      </w:pPr>
      <w:r>
        <w:rPr>
          <w:rFonts w:hint="eastAsia" w:ascii="TimesNewRoman" w:hAnsi="TimesNewRoman" w:eastAsia="黑体" w:cs="TimesNewRoman"/>
          <w:bCs/>
          <w:sz w:val="32"/>
          <w:szCs w:val="32"/>
        </w:rPr>
        <w:t>八、关于2024年国有资本经营预算支出表的说明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地价管理所</w:t>
      </w:r>
      <w:r>
        <w:rPr>
          <w:rFonts w:hint="eastAsia" w:ascii="TimesNewRoman" w:hAnsi="TimesNewRoman" w:eastAsia="仿宋_GB2312" w:cs="TimesNewRoman"/>
          <w:kern w:val="0"/>
          <w:sz w:val="32"/>
          <w:szCs w:val="32"/>
        </w:rPr>
        <w:t>2024年没有国有资本经营预算拨款收入，也没有使用国有资本经营预算拨款安排的支出。</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九、关于2024年项目支出表的说明</w:t>
      </w:r>
    </w:p>
    <w:p>
      <w:pPr>
        <w:ind w:firstLine="640" w:firstLineChars="200"/>
        <w:rPr>
          <w:rFonts w:hint="eastAsia" w:ascii="TimesNewRoman" w:hAnsi="TimesNewRoman" w:eastAsia="仿宋_GB2312" w:cs="TimesNewRoman"/>
          <w:color w:val="FF0000"/>
          <w:kern w:val="0"/>
          <w:sz w:val="32"/>
          <w:szCs w:val="32"/>
          <w:shd w:val="clear" w:color="auto" w:fill="auto"/>
          <w:lang w:val="en-US" w:eastAsia="zh-CN" w:bidi="ar-SA"/>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地价管理所</w:t>
      </w:r>
      <w:r>
        <w:rPr>
          <w:rFonts w:hint="eastAsia" w:ascii="TimesNewRoman" w:hAnsi="TimesNewRoman" w:eastAsia="仿宋_GB2312" w:cs="TimesNewRoman"/>
          <w:kern w:val="0"/>
          <w:sz w:val="32"/>
          <w:szCs w:val="32"/>
        </w:rPr>
        <w:t>2024年预算共安排项目支出</w:t>
      </w:r>
      <w:r>
        <w:rPr>
          <w:rFonts w:hint="eastAsia" w:ascii="TimesNewRoman" w:hAnsi="TimesNewRoman" w:eastAsia="仿宋_GB2312" w:cs="TimesNewRoman"/>
          <w:kern w:val="0"/>
          <w:sz w:val="32"/>
          <w:szCs w:val="32"/>
          <w:lang w:val="en-US" w:eastAsia="zh-CN"/>
        </w:rPr>
        <w:t>64.76</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3</w:t>
      </w:r>
      <w:bookmarkStart w:id="0" w:name="_GoBack"/>
      <w:bookmarkEnd w:id="0"/>
      <w:r>
        <w:rPr>
          <w:rFonts w:hint="eastAsia" w:ascii="TimesNewRoman" w:hAnsi="TimesNewRoman" w:eastAsia="仿宋_GB2312" w:cs="TimesNewRoman"/>
          <w:kern w:val="0"/>
          <w:sz w:val="32"/>
          <w:szCs w:val="32"/>
        </w:rPr>
        <w:t>年预算减少</w:t>
      </w:r>
      <w:r>
        <w:rPr>
          <w:rFonts w:hint="eastAsia" w:ascii="TimesNewRoman" w:hAnsi="TimesNewRoman" w:eastAsia="仿宋_GB2312" w:cs="TimesNewRoman"/>
          <w:kern w:val="0"/>
          <w:sz w:val="32"/>
          <w:szCs w:val="32"/>
          <w:lang w:val="en-US" w:eastAsia="zh-CN"/>
        </w:rPr>
        <w:t>29.84</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31.54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项目支出减少</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color w:val="auto"/>
          <w:kern w:val="0"/>
          <w:sz w:val="32"/>
          <w:szCs w:val="32"/>
          <w:shd w:val="clear" w:color="auto" w:fill="auto"/>
          <w:lang w:val="en-US" w:eastAsia="zh-CN" w:bidi="ar-SA"/>
        </w:rPr>
        <w:t>主要包括：本年财政拨款安排64.76万元（其中，一般公共预算拨款安排0万元，政府性基金预算拨款安排64.76万元），财政专户管理资金安排0万元。</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十、关于2024年政府采购支出表的说明</w:t>
      </w:r>
    </w:p>
    <w:p>
      <w:pPr>
        <w:ind w:firstLine="640" w:firstLineChars="200"/>
        <w:rPr>
          <w:rFonts w:hint="eastAsia" w:ascii="TimesNewRoman" w:hAnsi="TimesNewRoman" w:eastAsia="仿宋_GB2312" w:cs="TimesNewRoman"/>
          <w:color w:val="auto"/>
          <w:kern w:val="0"/>
          <w:sz w:val="32"/>
          <w:szCs w:val="32"/>
          <w:lang w:val="en-US" w:eastAsia="zh-CN"/>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地价管理所</w:t>
      </w:r>
      <w:r>
        <w:rPr>
          <w:rFonts w:hint="eastAsia" w:ascii="TimesNewRoman" w:hAnsi="TimesNewRoman" w:eastAsia="仿宋_GB2312" w:cs="TimesNewRoman"/>
          <w:kern w:val="0"/>
          <w:sz w:val="32"/>
          <w:szCs w:val="32"/>
        </w:rPr>
        <w:t>2024年预算安排政府采购支出</w:t>
      </w:r>
      <w:r>
        <w:rPr>
          <w:rFonts w:hint="eastAsia" w:ascii="TimesNewRoman" w:hAnsi="TimesNewRoman" w:eastAsia="仿宋_GB2312" w:cs="TimesNewRoman"/>
          <w:kern w:val="0"/>
          <w:sz w:val="32"/>
          <w:szCs w:val="32"/>
          <w:lang w:val="en-US" w:eastAsia="zh-CN"/>
        </w:rPr>
        <w:t>13.46</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53.04</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79.76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政府采购支出项目减少</w:t>
      </w:r>
      <w:r>
        <w:rPr>
          <w:rFonts w:hint="eastAsia" w:ascii="TimesNewRoman" w:hAnsi="TimesNewRoman" w:eastAsia="仿宋_GB2312" w:cs="TimesNewRoman"/>
          <w:kern w:val="0"/>
          <w:sz w:val="32"/>
          <w:szCs w:val="32"/>
        </w:rPr>
        <w:t>。</w:t>
      </w:r>
      <w:r>
        <w:rPr>
          <w:rFonts w:hint="eastAsia" w:ascii="TimesNewRoman" w:hAnsi="TimesNewRoman" w:eastAsia="仿宋_GB2312" w:cs="TimesNewRoman"/>
          <w:color w:val="auto"/>
          <w:kern w:val="0"/>
          <w:sz w:val="32"/>
          <w:szCs w:val="32"/>
        </w:rPr>
        <w:t>其中，</w:t>
      </w:r>
      <w:r>
        <w:rPr>
          <w:rFonts w:hint="eastAsia" w:ascii="TimesNewRoman" w:hAnsi="TimesNewRoman" w:eastAsia="仿宋_GB2312" w:cs="TimesNewRoman"/>
          <w:color w:val="auto"/>
          <w:kern w:val="0"/>
          <w:sz w:val="32"/>
          <w:szCs w:val="32"/>
          <w:lang w:eastAsia="zh-CN"/>
        </w:rPr>
        <w:t>一般公共预算安排</w:t>
      </w:r>
      <w:r>
        <w:rPr>
          <w:rFonts w:hint="eastAsia" w:ascii="TimesNewRoman" w:hAnsi="TimesNewRoman" w:eastAsia="仿宋_GB2312" w:cs="TimesNewRoman"/>
          <w:color w:val="auto"/>
          <w:kern w:val="0"/>
          <w:sz w:val="32"/>
          <w:szCs w:val="32"/>
          <w:lang w:val="en-US" w:eastAsia="zh-CN"/>
        </w:rPr>
        <w:t>0万元，占0</w:t>
      </w:r>
      <w:r>
        <w:rPr>
          <w:rFonts w:hint="eastAsia" w:ascii="TimesNewRoman" w:hAnsi="TimesNewRoman" w:eastAsia="仿宋_GB2312" w:cs="TimesNewRoman"/>
          <w:color w:val="auto"/>
          <w:kern w:val="0"/>
          <w:sz w:val="32"/>
          <w:szCs w:val="32"/>
        </w:rPr>
        <w:t>%</w:t>
      </w:r>
      <w:r>
        <w:rPr>
          <w:rFonts w:hint="eastAsia" w:ascii="TimesNewRoman" w:hAnsi="TimesNewRoman" w:eastAsia="仿宋_GB2312" w:cs="TimesNewRoman"/>
          <w:color w:val="auto"/>
          <w:kern w:val="0"/>
          <w:sz w:val="32"/>
          <w:szCs w:val="32"/>
          <w:lang w:eastAsia="zh-CN"/>
        </w:rPr>
        <w:t>；</w:t>
      </w:r>
      <w:r>
        <w:rPr>
          <w:rFonts w:hint="eastAsia" w:ascii="TimesNewRoman" w:hAnsi="TimesNewRoman" w:eastAsia="仿宋_GB2312" w:cs="TimesNewRoman"/>
          <w:color w:val="auto"/>
          <w:kern w:val="0"/>
          <w:sz w:val="32"/>
          <w:szCs w:val="32"/>
        </w:rPr>
        <w:t>政府性基金预算安排</w:t>
      </w:r>
      <w:r>
        <w:rPr>
          <w:rFonts w:hint="eastAsia" w:ascii="TimesNewRoman" w:hAnsi="TimesNewRoman" w:eastAsia="仿宋_GB2312" w:cs="TimesNewRoman"/>
          <w:color w:val="auto"/>
          <w:kern w:val="0"/>
          <w:sz w:val="32"/>
          <w:szCs w:val="32"/>
          <w:lang w:val="en-US" w:eastAsia="zh-CN"/>
        </w:rPr>
        <w:t>13.46</w:t>
      </w:r>
      <w:r>
        <w:rPr>
          <w:rFonts w:hint="eastAsia" w:ascii="TimesNewRoman" w:hAnsi="TimesNewRoman" w:eastAsia="仿宋_GB2312" w:cs="TimesNewRoman"/>
          <w:color w:val="auto"/>
          <w:kern w:val="0"/>
          <w:sz w:val="32"/>
          <w:szCs w:val="32"/>
        </w:rPr>
        <w:t>万元，占</w:t>
      </w:r>
      <w:r>
        <w:rPr>
          <w:rFonts w:hint="eastAsia" w:ascii="TimesNewRoman" w:hAnsi="TimesNewRoman" w:eastAsia="仿宋_GB2312" w:cs="TimesNewRoman"/>
          <w:color w:val="auto"/>
          <w:kern w:val="0"/>
          <w:sz w:val="32"/>
          <w:szCs w:val="32"/>
          <w:lang w:val="en-US" w:eastAsia="zh-CN"/>
        </w:rPr>
        <w:t>100</w:t>
      </w:r>
      <w:r>
        <w:rPr>
          <w:rFonts w:hint="eastAsia" w:ascii="TimesNewRoman" w:hAnsi="TimesNewRoman" w:eastAsia="仿宋_GB2312" w:cs="TimesNewRoman"/>
          <w:color w:val="auto"/>
          <w:kern w:val="0"/>
          <w:sz w:val="32"/>
          <w:szCs w:val="32"/>
        </w:rPr>
        <w:t>%；</w:t>
      </w:r>
      <w:r>
        <w:rPr>
          <w:rFonts w:hint="eastAsia" w:ascii="TimesNewRoman" w:hAnsi="TimesNewRoman" w:eastAsia="仿宋_GB2312" w:cs="TimesNewRoman"/>
          <w:color w:val="auto"/>
          <w:kern w:val="0"/>
          <w:sz w:val="32"/>
          <w:szCs w:val="32"/>
          <w:lang w:eastAsia="zh-CN"/>
        </w:rPr>
        <w:t>财政专户管理资金安排</w:t>
      </w:r>
      <w:r>
        <w:rPr>
          <w:rFonts w:hint="eastAsia" w:ascii="TimesNewRoman" w:hAnsi="TimesNewRoman" w:eastAsia="仿宋_GB2312" w:cs="TimesNewRoman"/>
          <w:color w:val="auto"/>
          <w:kern w:val="0"/>
          <w:sz w:val="32"/>
          <w:szCs w:val="32"/>
          <w:lang w:val="en-US" w:eastAsia="zh-CN"/>
        </w:rPr>
        <w:t>0万元，占0</w:t>
      </w:r>
      <w:r>
        <w:rPr>
          <w:rFonts w:hint="eastAsia" w:ascii="TimesNewRoman" w:hAnsi="TimesNewRoman" w:eastAsia="仿宋_GB2312" w:cs="TimesNewRoman"/>
          <w:color w:val="auto"/>
          <w:kern w:val="0"/>
          <w:sz w:val="32"/>
          <w:szCs w:val="32"/>
        </w:rPr>
        <w:t>%</w:t>
      </w:r>
      <w:r>
        <w:rPr>
          <w:rFonts w:hint="eastAsia" w:ascii="TimesNewRoman" w:hAnsi="TimesNewRoman" w:eastAsia="仿宋_GB2312" w:cs="TimesNewRoman"/>
          <w:color w:val="auto"/>
          <w:kern w:val="0"/>
          <w:sz w:val="32"/>
          <w:szCs w:val="32"/>
          <w:lang w:eastAsia="zh-CN"/>
        </w:rPr>
        <w:t>。</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十一、关于2024年政府购买服务支出表的说明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地价管理所</w:t>
      </w:r>
      <w:r>
        <w:rPr>
          <w:rFonts w:hint="eastAsia" w:ascii="TimesNewRoman" w:hAnsi="TimesNewRoman" w:eastAsia="仿宋_GB2312" w:cs="TimesNewRoman"/>
          <w:kern w:val="0"/>
          <w:sz w:val="32"/>
          <w:szCs w:val="32"/>
        </w:rPr>
        <w:t>2024年预算</w:t>
      </w:r>
      <w:r>
        <w:rPr>
          <w:rFonts w:hint="eastAsia" w:ascii="TimesNewRoman" w:hAnsi="TimesNewRoman" w:eastAsia="仿宋_GB2312" w:cs="TimesNewRoman"/>
          <w:kern w:val="0"/>
          <w:sz w:val="32"/>
          <w:szCs w:val="32"/>
          <w:lang w:eastAsia="zh-CN"/>
        </w:rPr>
        <w:t>没有</w:t>
      </w:r>
      <w:r>
        <w:rPr>
          <w:rFonts w:hint="eastAsia" w:ascii="TimesNewRoman" w:hAnsi="TimesNewRoman" w:eastAsia="仿宋_GB2312" w:cs="TimesNewRoman"/>
          <w:kern w:val="0"/>
          <w:sz w:val="32"/>
          <w:szCs w:val="32"/>
        </w:rPr>
        <w:t>安排政府购买服务支出。</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firstLine="964" w:firstLineChars="3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kern w:val="0"/>
          <w:sz w:val="32"/>
          <w:szCs w:val="32"/>
          <w:lang w:val="en-US" w:eastAsia="zh-CN"/>
        </w:rPr>
        <w:t>“</w:t>
      </w:r>
      <w:r>
        <w:rPr>
          <w:rFonts w:hint="eastAsia" w:ascii="仿宋_GB2312" w:hAnsi="仿宋_GB2312" w:eastAsia="仿宋_GB2312" w:cs="仿宋_GB2312"/>
          <w:sz w:val="32"/>
          <w:szCs w:val="32"/>
          <w:lang w:val="en-US" w:eastAsia="zh-CN"/>
        </w:rPr>
        <w:t>城市地价动态监测</w:t>
      </w:r>
      <w:r>
        <w:rPr>
          <w:rFonts w:hint="eastAsia" w:ascii="仿宋_GB2312" w:hAnsi="仿宋_GB2312" w:eastAsia="仿宋_GB2312" w:cs="仿宋_GB2312"/>
          <w:b/>
          <w:bCs/>
          <w:kern w:val="0"/>
          <w:sz w:val="32"/>
          <w:szCs w:val="32"/>
          <w:lang w:val="en-US" w:eastAsia="zh-CN"/>
        </w:rPr>
        <w:t>”</w:t>
      </w:r>
      <w:r>
        <w:rPr>
          <w:rFonts w:hint="eastAsia" w:ascii="仿宋_GB2312" w:hAnsi="仿宋_GB2312" w:eastAsia="仿宋_GB2312" w:cs="仿宋_GB2312"/>
          <w:kern w:val="0"/>
          <w:sz w:val="32"/>
          <w:szCs w:val="32"/>
          <w:lang w:val="en-US" w:eastAsia="zh-CN"/>
        </w:rPr>
        <w:t>项目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（1）项目概述。</w:t>
      </w:r>
      <w:r>
        <w:rPr>
          <w:rFonts w:hint="eastAsia" w:ascii="仿宋_GB2312" w:hAnsi="仿宋_GB2312" w:eastAsia="仿宋_GB2312" w:cs="仿宋_GB2312"/>
          <w:sz w:val="32"/>
          <w:szCs w:val="32"/>
          <w:lang w:val="en-US" w:eastAsia="zh-CN"/>
        </w:rPr>
        <w:t>淮北市城市地价动态监测项目目标是以城市标准宗地为中心，开展标准宗地及地价相关指标数据采集与维护，按照省级要求上报数据，保障监测数据源的及时、真实、完备、以及规范，为自然资源部门参与宏观调控提供基础数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（2）立项依据。</w:t>
      </w:r>
      <w:r>
        <w:rPr>
          <w:rFonts w:hint="eastAsia" w:ascii="仿宋_GB2312" w:hAnsi="仿宋_GB2312" w:eastAsia="仿宋_GB2312" w:cs="仿宋_GB2312"/>
          <w:sz w:val="32"/>
          <w:szCs w:val="32"/>
          <w:lang w:val="en-US" w:eastAsia="zh-CN"/>
        </w:rPr>
        <w:t>1.《国土资源部关于进一步加强城市地价动态监测的通知》（国土资发〔2008〕51号）；2.《安徽省自然资源厅关于调整完善城市地价动态监测工作有关事项的通知》（皖自然资用函〔2023〕159号）；3.《安徽省自然资源厅关于做好自然资源评价评估工作的通知》（皖自然资用〔2022〕1号）。4.《自然资源部办公厅关于做好2022年度自然资源评价评估工作的通知》（自然资办发〔2022〕13号）。</w:t>
      </w:r>
    </w:p>
    <w:p>
      <w:pPr>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（3）实施主体</w:t>
      </w:r>
      <w:r>
        <w:rPr>
          <w:rFonts w:hint="eastAsia" w:ascii="仿宋_GB2312" w:hAnsi="仿宋_GB2312" w:eastAsia="仿宋_GB2312" w:cs="仿宋_GB2312"/>
          <w:kern w:val="0"/>
          <w:sz w:val="32"/>
          <w:szCs w:val="32"/>
          <w:lang w:eastAsia="zh-CN"/>
        </w:rPr>
        <w:t>：淮北市地价管理所</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（4）起止时间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4.01</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4.12</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（5）项目内容。</w:t>
      </w:r>
      <w:r>
        <w:rPr>
          <w:rFonts w:hint="eastAsia" w:ascii="仿宋_GB2312" w:hAnsi="仿宋_GB2312" w:eastAsia="仿宋_GB2312" w:cs="仿宋_GB2312"/>
          <w:sz w:val="32"/>
          <w:szCs w:val="32"/>
          <w:lang w:val="en-US" w:eastAsia="zh-CN"/>
        </w:rPr>
        <w:t>淮北市城市地价动态监测项目目标是以城市标准宗地为中心，开展标准宗地及地价相关指标数据采集与维护，按照省级要求上报数据，保障监测数据源的及时、真实、完备、以及规范，为自然资源部门参与宏观调控提供基础数据。完成1-4季度商业监测范围220.09平方公里、地价区段15个、标准宗地24宗；居住监测范围144.50平方公里、地价区段17个、标准宗地28宗；工业监测范围183.54平方公里、地价区段9个、标准宗地20宗，地价监测数据采集与维护任务，完成年度成果。</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（6）年度预算安排</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14.7</w:t>
      </w:r>
      <w:r>
        <w:rPr>
          <w:rFonts w:hint="eastAsia" w:ascii="仿宋_GB2312" w:hAnsi="仿宋_GB2312" w:eastAsia="仿宋_GB2312" w:cs="仿宋_GB2312"/>
          <w:kern w:val="0"/>
          <w:sz w:val="32"/>
          <w:szCs w:val="32"/>
        </w:rPr>
        <w:t>万元</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（7）绩效目标。</w:t>
      </w:r>
    </w:p>
    <w:p/>
    <w:tbl>
      <w:tblPr>
        <w:tblStyle w:val="9"/>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hint="eastAsia" w:ascii="宋体" w:hAnsi="宋体" w:eastAsia="宋体" w:cs="宋体"/>
                <w:b/>
                <w:color w:val="000000"/>
                <w:kern w:val="0"/>
                <w:sz w:val="28"/>
                <w:szCs w:val="28"/>
              </w:rPr>
            </w:pPr>
          </w:p>
          <w:p>
            <w:pPr>
              <w:widowControl/>
              <w:ind w:firstLine="3092" w:firstLineChars="1100"/>
              <w:jc w:val="both"/>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城市地价动态监测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201-淮北市自然资源和规划局</w:t>
            </w:r>
          </w:p>
        </w:tc>
        <w:tc>
          <w:tcPr>
            <w:tcW w:w="1848" w:type="dxa"/>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淮北市地价管理所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eastAsia" w:ascii="宋体" w:hAnsi="宋体" w:eastAsia="宋体" w:cs="宋体"/>
                <w:sz w:val="20"/>
                <w:szCs w:val="20"/>
              </w:rPr>
            </w:pP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eastAsia" w:ascii="宋体" w:hAnsi="宋体" w:eastAsia="宋体" w:cs="宋体"/>
                <w:sz w:val="20"/>
                <w:szCs w:val="20"/>
              </w:rPr>
            </w:pP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righ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eastAsia" w:ascii="宋体" w:hAnsi="宋体" w:eastAsia="宋体" w:cs="宋体"/>
                <w:sz w:val="20"/>
                <w:szCs w:val="20"/>
              </w:rPr>
            </w:pP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eastAsia" w:ascii="宋体" w:hAnsi="宋体" w:eastAsia="宋体" w:cs="宋体"/>
                <w:sz w:val="20"/>
                <w:szCs w:val="20"/>
              </w:rPr>
            </w:pPr>
            <w:r>
              <w:rPr>
                <w:rFonts w:hint="eastAsia" w:ascii="宋体" w:hAnsi="宋体" w:eastAsia="宋体" w:cs="宋体"/>
                <w:sz w:val="20"/>
                <w:szCs w:val="20"/>
                <w:lang w:val="en-US" w:eastAsia="zh-CN"/>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top"/>
          </w:tcPr>
          <w:p>
            <w:pPr>
              <w:rPr>
                <w:rFonts w:hint="eastAsia" w:ascii="宋体" w:hAnsi="宋体" w:eastAsia="宋体" w:cs="宋体"/>
                <w:color w:val="000000"/>
                <w:kern w:val="0"/>
                <w:sz w:val="20"/>
                <w:szCs w:val="20"/>
              </w:rPr>
            </w:pPr>
            <w:r>
              <w:rPr>
                <w:rFonts w:hint="eastAsia" w:ascii="宋体" w:hAnsi="宋体" w:eastAsia="宋体" w:cs="宋体"/>
                <w:sz w:val="20"/>
                <w:szCs w:val="20"/>
              </w:rPr>
              <w:t>1：</w:t>
            </w:r>
            <w:r>
              <w:rPr>
                <w:rFonts w:hint="eastAsia" w:ascii="宋体" w:hAnsi="宋体" w:eastAsia="宋体" w:cs="宋体"/>
                <w:color w:val="000000"/>
                <w:kern w:val="0"/>
                <w:sz w:val="20"/>
                <w:szCs w:val="20"/>
              </w:rPr>
              <w:t>开展72宗标准宗地数据采集与维护，完成202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年四个季度监测数据。</w:t>
            </w:r>
          </w:p>
          <w:p>
            <w:pPr>
              <w:rPr>
                <w:rFonts w:hint="eastAsia" w:ascii="宋体" w:hAnsi="宋体" w:eastAsia="宋体" w:cs="宋体"/>
                <w:kern w:val="2"/>
                <w:sz w:val="20"/>
                <w:szCs w:val="20"/>
                <w:lang w:val="en-US" w:eastAsia="zh-CN" w:bidi="ar-SA"/>
              </w:rPr>
            </w:pPr>
            <w:r>
              <w:rPr>
                <w:rFonts w:hint="eastAsia" w:ascii="宋体" w:hAnsi="宋体" w:eastAsia="宋体" w:cs="宋体"/>
                <w:sz w:val="20"/>
                <w:szCs w:val="20"/>
              </w:rPr>
              <w:t>2：</w:t>
            </w:r>
            <w:r>
              <w:rPr>
                <w:rFonts w:hint="eastAsia" w:ascii="宋体" w:hAnsi="宋体" w:eastAsia="宋体" w:cs="宋体"/>
                <w:color w:val="000000"/>
                <w:kern w:val="0"/>
                <w:sz w:val="20"/>
                <w:szCs w:val="20"/>
                <w:lang w:val="en-US" w:eastAsia="zh-CN"/>
              </w:rPr>
              <w:t>完成1-4季度商业监测范围220.09平方公里、地价区段15个、标准宗地24宗；居住监测范围144.50平方公里、地价区段17个、标准宗地28宗；工业监测范围183.54平方公里、地价区段9个、标准宗地20宗</w:t>
            </w:r>
            <w:r>
              <w:rPr>
                <w:rFonts w:hint="eastAsia" w:ascii="宋体" w:hAnsi="宋体" w:eastAsia="宋体" w:cs="宋体"/>
                <w:color w:val="000000"/>
                <w:kern w:val="0"/>
                <w:sz w:val="20"/>
                <w:szCs w:val="20"/>
              </w:rPr>
              <w:t>，地价监测数据采集与维护任务，完成年度成果。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restart"/>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指标1：设置商业、居住、工业监测点72个以上。</w:t>
            </w:r>
          </w:p>
        </w:tc>
        <w:tc>
          <w:tcPr>
            <w:tcW w:w="4228" w:type="dxa"/>
            <w:gridSpan w:val="2"/>
            <w:tcBorders>
              <w:tl2br w:val="nil"/>
              <w:tr2bl w:val="nil"/>
            </w:tcBorders>
            <w:noWrap w:val="0"/>
            <w:vAlign w:val="center"/>
          </w:tcPr>
          <w:p>
            <w:pPr>
              <w:tabs>
                <w:tab w:val="left" w:pos="1169"/>
              </w:tabs>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202</w:t>
            </w:r>
            <w:r>
              <w:rPr>
                <w:rFonts w:hint="eastAsia" w:ascii="宋体" w:hAnsi="宋体" w:eastAsia="宋体" w:cs="宋体"/>
                <w:sz w:val="20"/>
                <w:szCs w:val="20"/>
                <w:lang w:val="en-US" w:eastAsia="zh-CN"/>
              </w:rPr>
              <w:t>4</w:t>
            </w:r>
            <w:r>
              <w:rPr>
                <w:rFonts w:hint="eastAsia" w:ascii="宋体" w:hAnsi="宋体" w:eastAsia="宋体" w:cs="宋体"/>
                <w:sz w:val="20"/>
                <w:szCs w:val="20"/>
                <w:lang w:eastAsia="zh-CN"/>
              </w:rPr>
              <w:t>年共设置商业、居住、工业监测点72个以上。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szCs w:val="20"/>
                <w:lang w:eastAsia="zh-CN"/>
              </w:rPr>
            </w:pPr>
            <w:r>
              <w:rPr>
                <w:rFonts w:hint="eastAsia" w:ascii="宋体" w:hAnsi="宋体" w:eastAsia="宋体" w:cs="宋体"/>
                <w:color w:val="000000"/>
                <w:kern w:val="0"/>
                <w:sz w:val="20"/>
                <w:szCs w:val="20"/>
              </w:rPr>
              <w:t>指标1：通过系统平台审核</w:t>
            </w:r>
            <w:r>
              <w:rPr>
                <w:rFonts w:hint="eastAsia" w:ascii="宋体" w:hAnsi="宋体" w:eastAsia="宋体" w:cs="宋体"/>
                <w:color w:val="000000"/>
                <w:kern w:val="0"/>
                <w:sz w:val="20"/>
                <w:szCs w:val="20"/>
                <w:lang w:eastAsia="zh-CN"/>
              </w:rPr>
              <w:t>。</w:t>
            </w:r>
          </w:p>
        </w:tc>
        <w:tc>
          <w:tcPr>
            <w:tcW w:w="4228" w:type="dxa"/>
            <w:gridSpan w:val="2"/>
            <w:tcBorders>
              <w:tl2br w:val="nil"/>
              <w:tr2bl w:val="nil"/>
            </w:tcBorders>
            <w:noWrap w:val="0"/>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rPr>
              <w:t>符合监测技术规范要求，成功上报省级平台</w:t>
            </w:r>
            <w:r>
              <w:rPr>
                <w:rFonts w:hint="eastAsia" w:ascii="宋体" w:hAnsi="宋体" w:eastAsia="宋体" w:cs="宋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szCs w:val="20"/>
                <w:lang w:eastAsia="zh-CN"/>
              </w:rPr>
            </w:pPr>
            <w:r>
              <w:rPr>
                <w:rFonts w:hint="eastAsia" w:ascii="宋体" w:hAnsi="宋体" w:eastAsia="宋体" w:cs="宋体"/>
                <w:color w:val="000000"/>
                <w:kern w:val="0"/>
                <w:sz w:val="20"/>
                <w:szCs w:val="20"/>
              </w:rPr>
              <w:t>指标1：项目完成及时</w:t>
            </w:r>
            <w:r>
              <w:rPr>
                <w:rFonts w:hint="eastAsia" w:ascii="宋体" w:hAnsi="宋体" w:eastAsia="宋体" w:cs="宋体"/>
                <w:color w:val="000000"/>
                <w:kern w:val="0"/>
                <w:sz w:val="20"/>
                <w:szCs w:val="20"/>
                <w:lang w:eastAsia="zh-CN"/>
              </w:rPr>
              <w:t>。</w:t>
            </w:r>
          </w:p>
        </w:tc>
        <w:tc>
          <w:tcPr>
            <w:tcW w:w="4228"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202</w:t>
            </w:r>
            <w:r>
              <w:rPr>
                <w:rFonts w:hint="eastAsia" w:ascii="宋体" w:hAnsi="宋体" w:eastAsia="宋体" w:cs="宋体"/>
                <w:sz w:val="20"/>
                <w:szCs w:val="20"/>
                <w:lang w:val="en-US" w:eastAsia="zh-CN"/>
              </w:rPr>
              <w:t>4</w:t>
            </w:r>
            <w:r>
              <w:rPr>
                <w:rFonts w:hint="eastAsia" w:ascii="宋体" w:hAnsi="宋体" w:eastAsia="宋体" w:cs="宋体"/>
                <w:sz w:val="20"/>
                <w:szCs w:val="20"/>
              </w:rPr>
              <w:t xml:space="preserve"> 年 3 月 10 日、 6 月 10 日、 9 月 10 日、 12 月 10 日前，分别完成各季度成果并上报； 12 月 31 日前完成年度成果并上报。 </w:t>
            </w:r>
            <w:r>
              <w:rPr>
                <w:rFonts w:hint="eastAsia" w:ascii="宋体" w:hAnsi="宋体" w:eastAsia="宋体" w:cs="宋体"/>
                <w:sz w:val="20"/>
                <w:szCs w:val="20"/>
                <w:lang w:val="en-US" w:eastAsia="zh-CN"/>
              </w:rPr>
              <w:t>202</w:t>
            </w:r>
            <w:r>
              <w:rPr>
                <w:rFonts w:hint="eastAsia" w:ascii="宋体" w:hAnsi="宋体" w:cs="宋体"/>
                <w:sz w:val="20"/>
                <w:szCs w:val="20"/>
                <w:lang w:val="en-US" w:eastAsia="zh-CN"/>
              </w:rPr>
              <w:t>4</w:t>
            </w:r>
            <w:r>
              <w:rPr>
                <w:rFonts w:hint="eastAsia" w:ascii="宋体" w:hAnsi="宋体" w:eastAsia="宋体" w:cs="宋体"/>
                <w:sz w:val="20"/>
                <w:szCs w:val="20"/>
              </w:rPr>
              <w:t>年 3 月 10 日、 6 月 10 日、 9 月 10 日、 12 月 10 日前，分别完成各季度成果并上报； 12 月 31 日前完成年度成果并上报。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szCs w:val="20"/>
                <w:lang w:val="en-US" w:eastAsia="zh-CN"/>
              </w:rPr>
            </w:pPr>
            <w:r>
              <w:rPr>
                <w:rFonts w:hint="eastAsia" w:ascii="宋体" w:hAnsi="宋体" w:eastAsia="宋体" w:cs="宋体"/>
                <w:color w:val="000000"/>
                <w:kern w:val="0"/>
                <w:sz w:val="20"/>
                <w:szCs w:val="20"/>
              </w:rPr>
              <w:t>指标1：层层审批，严控成本</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严格审批制度，严控成本支出。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restart"/>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指标1：监测土地价格市场走势</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把握土地市场价格走势，为国有土地资本运营提供参考。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tabs>
                <w:tab w:val="center" w:pos="1328"/>
              </w:tabs>
              <w:jc w:val="left"/>
              <w:textAlignment w:val="center"/>
              <w:rPr>
                <w:rFonts w:hint="eastAsia" w:ascii="宋体" w:hAnsi="宋体" w:eastAsia="宋体" w:cs="宋体"/>
                <w:sz w:val="20"/>
                <w:szCs w:val="20"/>
                <w:lang w:eastAsia="zh-CN"/>
              </w:rPr>
            </w:pPr>
            <w:r>
              <w:rPr>
                <w:rFonts w:hint="eastAsia" w:ascii="宋体" w:hAnsi="宋体" w:eastAsia="宋体" w:cs="宋体"/>
                <w:color w:val="000000"/>
                <w:kern w:val="0"/>
                <w:sz w:val="20"/>
                <w:szCs w:val="20"/>
              </w:rPr>
              <w:t>指标1：稳定土地市场</w:t>
            </w:r>
            <w:r>
              <w:rPr>
                <w:rFonts w:hint="eastAsia" w:ascii="宋体" w:hAnsi="宋体" w:eastAsia="宋体" w:cs="宋体"/>
                <w:color w:val="000000"/>
                <w:kern w:val="0"/>
                <w:sz w:val="20"/>
                <w:szCs w:val="20"/>
                <w:lang w:eastAsia="zh-CN"/>
              </w:rPr>
              <w:tab/>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及时监测土地价格，稳定土地市场，把握价格趋势。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指标1：促进土地市场良性运行</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把握土地市场价格走势，促进土地市场良性运行。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szCs w:val="20"/>
              </w:rPr>
            </w:pPr>
            <w:r>
              <w:rPr>
                <w:rFonts w:hint="eastAsia" w:ascii="宋体" w:hAnsi="宋体" w:eastAsia="宋体" w:cs="宋体"/>
                <w:sz w:val="20"/>
                <w:szCs w:val="20"/>
              </w:rPr>
              <w:t>可持续影响指标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指标1：促进土地市场每年良性运行</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tabs>
                <w:tab w:val="left" w:pos="402"/>
              </w:tabs>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ab/>
            </w:r>
            <w:r>
              <w:rPr>
                <w:rFonts w:hint="eastAsia" w:ascii="宋体" w:hAnsi="宋体" w:eastAsia="宋体" w:cs="宋体"/>
                <w:sz w:val="20"/>
                <w:szCs w:val="20"/>
                <w:lang w:eastAsia="zh-CN"/>
              </w:rPr>
              <w:t>把握土地市场走势，促进土地市场每年良性运行。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szCs w:val="20"/>
              </w:rPr>
            </w:pPr>
            <w:r>
              <w:rPr>
                <w:rFonts w:hint="eastAsia" w:ascii="宋体" w:hAnsi="宋体" w:eastAsia="宋体" w:cs="宋体"/>
                <w:sz w:val="20"/>
                <w:szCs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szCs w:val="20"/>
              </w:rPr>
            </w:pPr>
            <w:r>
              <w:rPr>
                <w:rFonts w:hint="eastAsia" w:ascii="宋体" w:hAnsi="宋体" w:eastAsia="宋体" w:cs="宋体"/>
                <w:sz w:val="20"/>
                <w:szCs w:val="20"/>
              </w:rPr>
              <w:t>满意度指标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color w:val="auto"/>
                <w:sz w:val="20"/>
                <w:szCs w:val="20"/>
                <w:lang w:eastAsia="zh-CN"/>
              </w:rPr>
            </w:pPr>
            <w:r>
              <w:rPr>
                <w:rFonts w:hint="eastAsia" w:ascii="宋体" w:hAnsi="宋体" w:eastAsia="宋体" w:cs="宋体"/>
                <w:color w:val="auto"/>
                <w:kern w:val="0"/>
                <w:sz w:val="20"/>
                <w:szCs w:val="20"/>
              </w:rPr>
              <w:t>指标1：</w:t>
            </w:r>
            <w:r>
              <w:rPr>
                <w:rFonts w:hint="eastAsia" w:ascii="宋体" w:hAnsi="宋体" w:eastAsia="宋体" w:cs="宋体"/>
                <w:color w:val="auto"/>
                <w:kern w:val="0"/>
                <w:sz w:val="20"/>
                <w:szCs w:val="20"/>
                <w:lang w:eastAsia="zh-CN"/>
              </w:rPr>
              <w:t>满意</w:t>
            </w:r>
          </w:p>
        </w:tc>
        <w:tc>
          <w:tcPr>
            <w:tcW w:w="4228" w:type="dxa"/>
            <w:gridSpan w:val="2"/>
            <w:tcBorders>
              <w:tl2br w:val="nil"/>
              <w:tr2bl w:val="nil"/>
            </w:tcBorders>
            <w:noWrap w:val="0"/>
            <w:vAlign w:val="center"/>
          </w:tcPr>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100%</w:t>
            </w:r>
          </w:p>
        </w:tc>
      </w:tr>
    </w:tbl>
    <w:p>
      <w:pPr>
        <w:bidi w:val="0"/>
        <w:rPr>
          <w:rFonts w:ascii="Calibri" w:hAnsi="Calibri" w:eastAsia="宋体" w:cs="Times New Roman"/>
          <w:kern w:val="2"/>
          <w:sz w:val="21"/>
          <w:szCs w:val="22"/>
          <w:lang w:val="en-US" w:eastAsia="zh-CN" w:bidi="ar-SA"/>
        </w:rPr>
      </w:pPr>
    </w:p>
    <w:p>
      <w:pPr>
        <w:bidi w:val="0"/>
        <w:rPr>
          <w:lang w:val="en-US" w:eastAsia="zh-CN"/>
        </w:rPr>
      </w:pPr>
    </w:p>
    <w:p>
      <w:pPr>
        <w:pStyle w:val="2"/>
      </w:pPr>
    </w:p>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kern w:val="0"/>
          <w:sz w:val="32"/>
          <w:szCs w:val="32"/>
          <w:lang w:val="en-US" w:eastAsia="zh-CN"/>
        </w:rPr>
        <w:t>“</w:t>
      </w:r>
      <w:r>
        <w:rPr>
          <w:rFonts w:hint="eastAsia" w:ascii="仿宋_GB2312" w:hAnsi="仿宋_GB2312" w:eastAsia="仿宋_GB2312" w:cs="仿宋_GB2312"/>
          <w:sz w:val="32"/>
          <w:szCs w:val="32"/>
          <w:lang w:val="en-US" w:eastAsia="zh-CN"/>
        </w:rPr>
        <w:t>淮北市城区国有建设用地基准地价、标定地价更新和3镇基准地价制定</w:t>
      </w:r>
      <w:r>
        <w:rPr>
          <w:rFonts w:hint="eastAsia" w:ascii="仿宋_GB2312" w:hAnsi="仿宋_GB2312" w:eastAsia="仿宋_GB2312" w:cs="仿宋_GB2312"/>
          <w:b/>
          <w:bCs/>
          <w:kern w:val="0"/>
          <w:sz w:val="32"/>
          <w:szCs w:val="32"/>
          <w:lang w:val="en-US" w:eastAsia="zh-CN"/>
        </w:rPr>
        <w:t>”</w:t>
      </w:r>
      <w:r>
        <w:rPr>
          <w:rFonts w:hint="eastAsia" w:ascii="仿宋_GB2312" w:hAnsi="仿宋_GB2312" w:eastAsia="仿宋_GB2312" w:cs="仿宋_GB2312"/>
          <w:kern w:val="0"/>
          <w:sz w:val="32"/>
          <w:szCs w:val="32"/>
          <w:lang w:val="en-US" w:eastAsia="zh-CN"/>
        </w:rPr>
        <w:t>项目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（1）项目概述。</w:t>
      </w:r>
      <w:r>
        <w:rPr>
          <w:rFonts w:hint="eastAsia" w:ascii="仿宋_GB2312" w:hAnsi="仿宋_GB2312" w:eastAsia="仿宋_GB2312" w:cs="仿宋_GB2312"/>
          <w:sz w:val="32"/>
          <w:szCs w:val="32"/>
          <w:lang w:val="en-US" w:eastAsia="zh-CN"/>
        </w:rPr>
        <w:t>根据《城镇土地估价规程》要求，完成淮北市城区商、住、工、公管公服及交通用地土地定级和基准地价更新评估工作；根据《标定地价规程》要求，完成2023-2025年淮北市城区标定地价体系每年度更新评估工作。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（2）立项依据。</w:t>
      </w:r>
      <w:r>
        <w:rPr>
          <w:rFonts w:hint="eastAsia" w:ascii="仿宋_GB2312" w:hAnsi="仿宋_GB2312" w:eastAsia="仿宋_GB2312" w:cs="仿宋_GB2312"/>
          <w:sz w:val="32"/>
          <w:szCs w:val="32"/>
          <w:lang w:val="en-US" w:eastAsia="zh-CN"/>
        </w:rPr>
        <w:t>《中华人民共和国城市房地产管理法》；《国务院关于加强国有土地资产管理的通知》（国发〔2001〕15号）；原《国土资源部办公厅关于实施&lt;城镇土地分等定级规程&gt;和&lt;城镇土地估价规程&gt;有关问题的通知》(国土资厅发〔2015〕12号)；《标定地价规程》（TD/T 1052-2017）；《安徽省自然资源厅关于做好自然资源评价评估工作的通知 》（皖自然资用〔2022〕1号）。</w:t>
      </w:r>
    </w:p>
    <w:p>
      <w:pPr>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（3）实施主体</w:t>
      </w:r>
      <w:r>
        <w:rPr>
          <w:rFonts w:hint="eastAsia" w:ascii="仿宋_GB2312" w:hAnsi="仿宋_GB2312" w:eastAsia="仿宋_GB2312" w:cs="仿宋_GB2312"/>
          <w:kern w:val="0"/>
          <w:sz w:val="32"/>
          <w:szCs w:val="32"/>
          <w:lang w:eastAsia="zh-CN"/>
        </w:rPr>
        <w:t>：淮北市地价管理所</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（4）起止时间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4.01</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4.12</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（5）项目内容。</w:t>
      </w:r>
      <w:r>
        <w:rPr>
          <w:rFonts w:hint="eastAsia" w:ascii="仿宋_GB2312" w:hAnsi="仿宋_GB2312" w:eastAsia="仿宋_GB2312" w:cs="仿宋_GB2312"/>
          <w:sz w:val="32"/>
          <w:szCs w:val="32"/>
          <w:lang w:val="en-US" w:eastAsia="zh-CN"/>
        </w:rPr>
        <w:t>根据《城镇土地估价规程》要求，完成淮北市城区商、住、工、公管公服及交通用地土地定级和基准地价更新评估工作；根据《标定地价规程》要求，完成2023-2025年淮北市城区标定地价体系每年度更新评估工作；完成段园、宋疃、古饶等3镇土地定级与基准地价制定工作；在定级估价的基础上，建立淮北市商、住、工、公管公服及交通用地的地价样点数据库；建立标定地价更新样点数据库。</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（6）年度预算安排</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13.46</w:t>
      </w:r>
      <w:r>
        <w:rPr>
          <w:rFonts w:hint="eastAsia" w:ascii="仿宋_GB2312" w:hAnsi="仿宋_GB2312" w:eastAsia="仿宋_GB2312" w:cs="仿宋_GB2312"/>
          <w:kern w:val="0"/>
          <w:sz w:val="32"/>
          <w:szCs w:val="32"/>
        </w:rPr>
        <w:t>万元</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（7）绩效目标。</w:t>
      </w:r>
    </w:p>
    <w:p>
      <w:pPr>
        <w:pStyle w:val="8"/>
      </w:pPr>
    </w:p>
    <w:p/>
    <w:tbl>
      <w:tblPr>
        <w:tblStyle w:val="9"/>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hint="eastAsia" w:ascii="宋体" w:hAnsi="宋体" w:eastAsia="宋体" w:cs="宋体"/>
                <w:b/>
                <w:color w:val="000000"/>
                <w:kern w:val="0"/>
                <w:sz w:val="28"/>
                <w:szCs w:val="28"/>
              </w:rPr>
            </w:pPr>
          </w:p>
          <w:p>
            <w:pPr>
              <w:widowControl/>
              <w:ind w:firstLine="3092" w:firstLineChars="1100"/>
              <w:jc w:val="both"/>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hint="eastAsia" w:ascii="宋体" w:eastAsia="宋体" w:cs="宋体"/>
                <w:sz w:val="20"/>
                <w:lang w:val="en-US" w:eastAsia="zh-CN"/>
              </w:rPr>
            </w:pPr>
            <w:r>
              <w:rPr>
                <w:rFonts w:hint="eastAsia" w:ascii="宋体" w:cs="宋体"/>
                <w:sz w:val="20"/>
              </w:rPr>
              <w:t>淮北市城区国有建设用地基准地价、标定地价更新和3镇基准地价制定项目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ascii="宋体" w:cs="宋体"/>
                <w:sz w:val="20"/>
              </w:rPr>
            </w:pPr>
            <w:r>
              <w:rPr>
                <w:rFonts w:hint="eastAsia" w:ascii="宋体" w:cs="宋体"/>
                <w:sz w:val="20"/>
              </w:rPr>
              <w:t>201-淮北市自然资源和规划局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lang w:eastAsia="zh-CN"/>
              </w:rPr>
              <w:t>淮北市地价管理所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ascii="宋体" w:cs="宋体"/>
                <w:sz w:val="20"/>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eastAsia="宋体"/>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top"/>
          </w:tcPr>
          <w:p>
            <w:pPr>
              <w:rPr>
                <w:rFonts w:hint="eastAsia"/>
                <w:sz w:val="20"/>
                <w:szCs w:val="20"/>
              </w:rPr>
            </w:pPr>
            <w:r>
              <w:rPr>
                <w:rFonts w:hint="eastAsia"/>
                <w:sz w:val="20"/>
                <w:szCs w:val="20"/>
              </w:rPr>
              <w:t>1.完成城区土地定级和基准地价更新范围及外业调查工作；</w:t>
            </w:r>
          </w:p>
          <w:p>
            <w:pPr>
              <w:rPr>
                <w:rFonts w:hint="eastAsia"/>
                <w:sz w:val="20"/>
                <w:szCs w:val="20"/>
              </w:rPr>
            </w:pPr>
            <w:r>
              <w:rPr>
                <w:rFonts w:hint="eastAsia"/>
                <w:sz w:val="20"/>
                <w:szCs w:val="20"/>
              </w:rPr>
              <w:t>2.完成202</w:t>
            </w:r>
            <w:r>
              <w:rPr>
                <w:rFonts w:hint="eastAsia"/>
                <w:sz w:val="20"/>
                <w:szCs w:val="20"/>
                <w:lang w:val="en-US" w:eastAsia="zh-CN"/>
              </w:rPr>
              <w:t>4</w:t>
            </w:r>
            <w:r>
              <w:rPr>
                <w:rFonts w:hint="eastAsia"/>
                <w:sz w:val="20"/>
                <w:szCs w:val="20"/>
              </w:rPr>
              <w:t>年城区标定地价体系更新，形成初步成果；</w:t>
            </w:r>
          </w:p>
          <w:p>
            <w:pPr>
              <w:rPr>
                <w:rFonts w:ascii="宋体" w:hAnsi="宋体" w:eastAsia="宋体" w:cs="宋体"/>
                <w:kern w:val="2"/>
                <w:sz w:val="20"/>
                <w:szCs w:val="20"/>
                <w:lang w:val="en-US" w:eastAsia="zh-CN" w:bidi="ar-SA"/>
              </w:rPr>
            </w:pPr>
            <w:r>
              <w:rPr>
                <w:rFonts w:hint="eastAsia"/>
                <w:sz w:val="20"/>
                <w:szCs w:val="20"/>
              </w:rPr>
              <w:t>3.完成段园、宋疃、古饶等3镇土地定级与基准地价制定范围及外业调查工作。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指标1：1 、城区基准地价更新 2 、城区标定地价更新 3 、乡镇基准地价制定</w:t>
            </w:r>
            <w:r>
              <w:rPr>
                <w:rFonts w:hint="eastAsia" w:ascii="宋体" w:cs="宋体"/>
                <w:sz w:val="20"/>
                <w:lang w:eastAsia="zh-CN"/>
              </w:rPr>
              <w:t>。</w:t>
            </w:r>
          </w:p>
        </w:tc>
        <w:tc>
          <w:tcPr>
            <w:tcW w:w="4228" w:type="dxa"/>
            <w:gridSpan w:val="2"/>
            <w:tcBorders>
              <w:tl2br w:val="nil"/>
              <w:tr2bl w:val="nil"/>
            </w:tcBorders>
            <w:noWrap w:val="0"/>
            <w:vAlign w:val="center"/>
          </w:tcPr>
          <w:p>
            <w:pPr>
              <w:tabs>
                <w:tab w:val="left" w:pos="1169"/>
              </w:tabs>
              <w:jc w:val="left"/>
              <w:rPr>
                <w:rFonts w:hint="eastAsia" w:ascii="宋体" w:eastAsia="宋体" w:cs="宋体"/>
                <w:sz w:val="20"/>
                <w:lang w:val="en-US" w:eastAsia="zh-CN"/>
              </w:rPr>
            </w:pPr>
            <w:r>
              <w:rPr>
                <w:rFonts w:hint="eastAsia" w:ascii="宋体" w:hAnsi="宋体" w:eastAsia="宋体" w:cs="宋体"/>
                <w:sz w:val="20"/>
                <w:szCs w:val="20"/>
              </w:rPr>
              <w:t>1 城区基准地价更新面积 266.36 平方公里 2 、城区标定地价更新 266.36 平方公里 3 、乡镇基准地价制定面积 50 平方公里 城区基准地价更新面积 266.36 平方公里 2 、城区标定地价更新 266.36 平方公里 3 、乡镇基准地价制定面积 50 平方公里</w:t>
            </w:r>
            <w:r>
              <w:rPr>
                <w:rFonts w:hint="eastAsia" w:ascii="宋体" w:hAnsi="宋体" w:eastAsia="宋体" w:cs="宋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指标1：通过省厅验收</w:t>
            </w:r>
            <w:r>
              <w:rPr>
                <w:rFonts w:hint="eastAsia" w:ascii="宋体" w:hAnsi="宋体" w:cs="宋体"/>
                <w:color w:val="000000"/>
                <w:kern w:val="0"/>
                <w:sz w:val="20"/>
                <w:szCs w:val="20"/>
                <w:lang w:eastAsia="zh-CN"/>
              </w:rPr>
              <w:t>。</w:t>
            </w:r>
          </w:p>
        </w:tc>
        <w:tc>
          <w:tcPr>
            <w:tcW w:w="4228" w:type="dxa"/>
            <w:gridSpan w:val="2"/>
            <w:tcBorders>
              <w:tl2br w:val="nil"/>
              <w:tr2bl w:val="nil"/>
            </w:tcBorders>
            <w:noWrap w:val="0"/>
            <w:vAlign w:val="center"/>
          </w:tcPr>
          <w:p>
            <w:pPr>
              <w:jc w:val="center"/>
              <w:rPr>
                <w:rFonts w:hint="eastAsia" w:ascii="宋体" w:eastAsia="宋体" w:cs="宋体"/>
                <w:sz w:val="20"/>
                <w:szCs w:val="20"/>
                <w:lang w:eastAsia="zh-CN"/>
              </w:rPr>
            </w:pPr>
            <w:r>
              <w:rPr>
                <w:rFonts w:hint="eastAsia" w:ascii="宋体" w:cs="宋体"/>
                <w:sz w:val="20"/>
                <w:szCs w:val="20"/>
              </w:rPr>
              <w:t>符合《城镇基准地价和标定地价规程》，通过省厅和市局验收</w:t>
            </w:r>
            <w:r>
              <w:rPr>
                <w:rFonts w:hint="eastAsia" w:ascii="宋体" w:cs="宋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年底通过验收</w:t>
            </w:r>
            <w:r>
              <w:rPr>
                <w:rFonts w:hint="eastAsia" w:ascii="宋体" w:hAnsi="宋体" w:cs="宋体"/>
                <w:color w:val="000000"/>
                <w:kern w:val="0"/>
                <w:sz w:val="20"/>
                <w:szCs w:val="20"/>
                <w:lang w:eastAsia="zh-CN"/>
              </w:rPr>
              <w:t>。</w:t>
            </w:r>
          </w:p>
        </w:tc>
        <w:tc>
          <w:tcPr>
            <w:tcW w:w="4228" w:type="dxa"/>
            <w:gridSpan w:val="2"/>
            <w:tcBorders>
              <w:tl2br w:val="nil"/>
              <w:tr2bl w:val="nil"/>
            </w:tcBorders>
            <w:noWrap w:val="0"/>
            <w:vAlign w:val="center"/>
          </w:tcPr>
          <w:p>
            <w:pPr>
              <w:jc w:val="center"/>
              <w:rPr>
                <w:rFonts w:ascii="宋体" w:cs="宋体"/>
                <w:sz w:val="20"/>
                <w:szCs w:val="20"/>
              </w:rPr>
            </w:pPr>
            <w:r>
              <w:rPr>
                <w:rFonts w:hint="eastAsia"/>
                <w:sz w:val="20"/>
                <w:szCs w:val="20"/>
              </w:rPr>
              <w:t>202</w:t>
            </w:r>
            <w:r>
              <w:rPr>
                <w:rFonts w:hint="eastAsia"/>
                <w:sz w:val="20"/>
                <w:szCs w:val="20"/>
                <w:lang w:val="en-US" w:eastAsia="zh-CN"/>
              </w:rPr>
              <w:t>4</w:t>
            </w:r>
            <w:r>
              <w:rPr>
                <w:rFonts w:hint="eastAsia"/>
                <w:sz w:val="20"/>
                <w:szCs w:val="20"/>
              </w:rPr>
              <w:t xml:space="preserve"> 年底完成城区基准地价更新、 202</w:t>
            </w:r>
            <w:r>
              <w:rPr>
                <w:rFonts w:hint="eastAsia"/>
                <w:sz w:val="20"/>
                <w:szCs w:val="20"/>
                <w:lang w:val="en-US" w:eastAsia="zh-CN"/>
              </w:rPr>
              <w:t>4</w:t>
            </w:r>
            <w:r>
              <w:rPr>
                <w:rFonts w:hint="eastAsia"/>
                <w:sz w:val="20"/>
                <w:szCs w:val="20"/>
              </w:rPr>
              <w:t xml:space="preserve"> 年度城区标定地价更新、以及乡镇基准地价制定</w:t>
            </w:r>
            <w:r>
              <w:rPr>
                <w:rFonts w:hint="eastAsia" w:ascii="宋体" w:cs="宋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rPr>
              <w:t>指标1：层层审批，严控成本</w:t>
            </w:r>
            <w:r>
              <w:rPr>
                <w:rFonts w:hint="eastAsia" w:ascii="宋体" w:cs="宋体"/>
                <w:sz w:val="20"/>
                <w:lang w:eastAsia="zh-CN"/>
              </w:rPr>
              <w:t>。</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严格审批制度，严控成本支出。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指标1：为土地出让提供价格参考。</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为政府土地出让时提供参考依据，实现土地资源的合理配置。使有限的城市土地发挥最大的经济和社会为政府土地出让时提供参考依据，实现土地资源的合理配置。使有限的城市土地发挥最大的经济和社会效用。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jc w:val="center"/>
              <w:rPr>
                <w:rFonts w:hint="eastAsia" w:ascii="宋体" w:cs="宋体"/>
                <w:sz w:val="20"/>
                <w:lang w:eastAsia="zh-CN"/>
              </w:rPr>
            </w:pPr>
            <w:r>
              <w:rPr>
                <w:rFonts w:hint="eastAsia" w:ascii="宋体" w:cs="宋体"/>
                <w:sz w:val="20"/>
              </w:rPr>
              <w:t>指标1：城区基准地价更新 、城区标定地价更新乡镇基准地价制定</w:t>
            </w:r>
            <w:r>
              <w:rPr>
                <w:rFonts w:hint="eastAsia" w:ascii="宋体" w:cs="宋体"/>
                <w:sz w:val="20"/>
                <w:lang w:eastAsia="zh-CN"/>
              </w:rPr>
              <w:t>。</w:t>
            </w:r>
            <w:r>
              <w:rPr>
                <w:rFonts w:hint="eastAsia" w:ascii="宋体" w:cs="宋体"/>
                <w:sz w:val="20"/>
                <w:lang w:eastAsia="zh-CN"/>
              </w:rPr>
              <w:tab/>
            </w:r>
          </w:p>
        </w:tc>
        <w:tc>
          <w:tcPr>
            <w:tcW w:w="4228" w:type="dxa"/>
            <w:gridSpan w:val="2"/>
            <w:tcBorders>
              <w:tl2br w:val="nil"/>
              <w:tr2bl w:val="nil"/>
            </w:tcBorders>
            <w:noWrap w:val="0"/>
            <w:vAlign w:val="center"/>
          </w:tcPr>
          <w:p>
            <w:pPr>
              <w:jc w:val="center"/>
              <w:rPr>
                <w:rFonts w:hint="eastAsia" w:ascii="宋体" w:cs="宋体"/>
                <w:sz w:val="20"/>
              </w:rPr>
            </w:pPr>
            <w:r>
              <w:rPr>
                <w:rFonts w:hint="eastAsia" w:ascii="宋体" w:cs="宋体"/>
                <w:sz w:val="20"/>
              </w:rPr>
              <w:t>为政府土地出让时提供参考依据，实现土地资源的合理配置。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jc w:val="center"/>
              <w:rPr>
                <w:rFonts w:hint="eastAsia" w:ascii="宋体" w:cs="宋体"/>
                <w:sz w:val="20"/>
              </w:rPr>
            </w:pPr>
            <w:r>
              <w:rPr>
                <w:rFonts w:hint="eastAsia" w:ascii="宋体" w:cs="宋体"/>
                <w:sz w:val="20"/>
              </w:rPr>
              <w:t>指标1：完成验收</w:t>
            </w:r>
            <w:r>
              <w:rPr>
                <w:rFonts w:hint="eastAsia" w:ascii="宋体" w:cs="宋体"/>
                <w:sz w:val="20"/>
                <w:lang w:eastAsia="zh-CN"/>
              </w:rPr>
              <w:t>。</w:t>
            </w:r>
          </w:p>
        </w:tc>
        <w:tc>
          <w:tcPr>
            <w:tcW w:w="4228" w:type="dxa"/>
            <w:gridSpan w:val="2"/>
            <w:tcBorders>
              <w:tl2br w:val="nil"/>
              <w:tr2bl w:val="nil"/>
            </w:tcBorders>
            <w:noWrap w:val="0"/>
            <w:vAlign w:val="center"/>
          </w:tcPr>
          <w:p>
            <w:pPr>
              <w:jc w:val="center"/>
              <w:rPr>
                <w:rFonts w:hint="eastAsia" w:ascii="宋体" w:cs="宋体"/>
                <w:sz w:val="20"/>
              </w:rPr>
            </w:pPr>
            <w:r>
              <w:rPr>
                <w:rFonts w:hint="eastAsia" w:ascii="宋体" w:cs="宋体"/>
                <w:sz w:val="20"/>
              </w:rPr>
              <w:t>实现土地资源的合理配置，服务用地单位。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jc w:val="center"/>
              <w:rPr>
                <w:rFonts w:hint="eastAsia" w:ascii="宋体" w:cs="宋体"/>
                <w:sz w:val="20"/>
              </w:rPr>
            </w:pPr>
            <w:r>
              <w:rPr>
                <w:rFonts w:hint="eastAsia" w:ascii="宋体" w:cs="宋体"/>
                <w:sz w:val="20"/>
              </w:rPr>
              <w:t>指标1：通过验收</w:t>
            </w:r>
            <w:r>
              <w:rPr>
                <w:rFonts w:hint="eastAsia" w:ascii="宋体" w:cs="宋体"/>
                <w:sz w:val="20"/>
                <w:lang w:eastAsia="zh-CN"/>
              </w:rPr>
              <w:t>。</w:t>
            </w:r>
          </w:p>
        </w:tc>
        <w:tc>
          <w:tcPr>
            <w:tcW w:w="4228" w:type="dxa"/>
            <w:gridSpan w:val="2"/>
            <w:tcBorders>
              <w:tl2br w:val="nil"/>
              <w:tr2bl w:val="nil"/>
            </w:tcBorders>
            <w:noWrap w:val="0"/>
            <w:vAlign w:val="center"/>
          </w:tcPr>
          <w:p>
            <w:pPr>
              <w:jc w:val="center"/>
              <w:rPr>
                <w:rFonts w:hint="eastAsia" w:ascii="宋体" w:cs="宋体"/>
                <w:sz w:val="20"/>
                <w:lang w:eastAsia="zh-CN"/>
              </w:rPr>
            </w:pPr>
            <w:r>
              <w:rPr>
                <w:rFonts w:hint="eastAsia" w:ascii="宋体" w:cs="宋体"/>
                <w:sz w:val="20"/>
                <w:lang w:eastAsia="zh-CN"/>
              </w:rPr>
              <w:tab/>
            </w:r>
            <w:r>
              <w:rPr>
                <w:rFonts w:hint="eastAsia" w:ascii="宋体" w:cs="宋体"/>
                <w:sz w:val="20"/>
                <w:lang w:eastAsia="zh-CN"/>
              </w:rPr>
              <w:t>为土地资源的合理配置，市场合理运行服务。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jc w:val="center"/>
              <w:rPr>
                <w:rFonts w:hint="eastAsia" w:ascii="宋体" w:cs="宋体"/>
                <w:sz w:val="20"/>
                <w:lang w:eastAsia="zh-CN"/>
              </w:rPr>
            </w:pPr>
            <w:r>
              <w:rPr>
                <w:rFonts w:hint="eastAsia" w:ascii="宋体" w:cs="宋体"/>
                <w:sz w:val="20"/>
              </w:rPr>
              <w:t>指标1：</w:t>
            </w:r>
            <w:r>
              <w:rPr>
                <w:rFonts w:hint="eastAsia" w:ascii="宋体" w:cs="宋体"/>
                <w:sz w:val="20"/>
                <w:lang w:eastAsia="zh-CN"/>
              </w:rPr>
              <w:t>满意</w:t>
            </w:r>
          </w:p>
        </w:tc>
        <w:tc>
          <w:tcPr>
            <w:tcW w:w="4228" w:type="dxa"/>
            <w:gridSpan w:val="2"/>
            <w:tcBorders>
              <w:tl2br w:val="nil"/>
              <w:tr2bl w:val="nil"/>
            </w:tcBorders>
            <w:noWrap w:val="0"/>
            <w:vAlign w:val="center"/>
          </w:tcPr>
          <w:p>
            <w:pPr>
              <w:jc w:val="center"/>
              <w:rPr>
                <w:rFonts w:hint="default" w:ascii="宋体" w:cs="宋体"/>
                <w:sz w:val="20"/>
                <w:lang w:val="en-US" w:eastAsia="zh-CN"/>
              </w:rPr>
            </w:pPr>
            <w:r>
              <w:rPr>
                <w:rFonts w:hint="eastAsia" w:ascii="宋体" w:cs="宋体"/>
                <w:sz w:val="20"/>
                <w:lang w:val="en-US" w:eastAsia="zh-CN"/>
              </w:rPr>
              <w:t>100%</w:t>
            </w:r>
          </w:p>
        </w:tc>
      </w:tr>
    </w:tbl>
    <w:p>
      <w:pPr>
        <w:adjustRightInd w:val="0"/>
        <w:snapToGrid w:val="0"/>
        <w:spacing w:line="580" w:lineRule="exact"/>
        <w:rPr>
          <w:rFonts w:hint="default" w:ascii="TimesNewRoman" w:hAnsi="TimesNewRoman" w:eastAsia="仿宋_GB2312" w:cs="TimesNewRoman"/>
          <w:b w:val="0"/>
          <w:bCs/>
          <w:sz w:val="32"/>
          <w:szCs w:val="32"/>
          <w:lang w:val="en-US" w:eastAsia="zh-CN"/>
        </w:rPr>
      </w:pPr>
    </w:p>
    <w:p/>
    <w:p>
      <w:pPr>
        <w:pStyle w:val="8"/>
      </w:pP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kern w:val="0"/>
          <w:sz w:val="32"/>
          <w:szCs w:val="32"/>
          <w:lang w:val="en-US" w:eastAsia="zh-CN"/>
        </w:rPr>
        <w:t>“</w:t>
      </w:r>
      <w:r>
        <w:rPr>
          <w:rFonts w:hint="eastAsia" w:ascii="仿宋_GB2312" w:hAnsi="仿宋_GB2312" w:eastAsia="仿宋_GB2312" w:cs="仿宋_GB2312"/>
          <w:sz w:val="32"/>
          <w:szCs w:val="32"/>
          <w:lang w:val="en-US" w:eastAsia="zh-CN"/>
        </w:rPr>
        <w:t>淮北市市辖区园地林地草地定级与基准地价制定</w:t>
      </w:r>
      <w:r>
        <w:rPr>
          <w:rFonts w:hint="eastAsia" w:ascii="仿宋_GB2312" w:hAnsi="仿宋_GB2312" w:eastAsia="仿宋_GB2312" w:cs="仿宋_GB2312"/>
          <w:b/>
          <w:bCs/>
          <w:kern w:val="0"/>
          <w:sz w:val="32"/>
          <w:szCs w:val="32"/>
          <w:lang w:val="en-US" w:eastAsia="zh-CN"/>
        </w:rPr>
        <w:t>”</w:t>
      </w:r>
      <w:r>
        <w:rPr>
          <w:rFonts w:hint="eastAsia" w:ascii="仿宋_GB2312" w:hAnsi="仿宋_GB2312" w:eastAsia="仿宋_GB2312" w:cs="仿宋_GB2312"/>
          <w:kern w:val="0"/>
          <w:sz w:val="32"/>
          <w:szCs w:val="32"/>
          <w:lang w:val="en-US" w:eastAsia="zh-CN"/>
        </w:rPr>
        <w:t>项目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（1）项目概述。</w:t>
      </w:r>
      <w:r>
        <w:rPr>
          <w:rFonts w:hint="eastAsia" w:ascii="仿宋_GB2312" w:hAnsi="仿宋_GB2312" w:eastAsia="仿宋_GB2312" w:cs="仿宋_GB2312"/>
          <w:sz w:val="32"/>
          <w:szCs w:val="32"/>
          <w:lang w:val="en-US" w:eastAsia="zh-CN"/>
        </w:rPr>
        <w:t>对相山区、杜集区、烈山区范围内园地、林地、草地进行土地定级和基准地价制定。完成淮北市市辖区园地林地草地定级和基准地价制定工作，形成园地林地草地基准地价成果，完善淮北市公示地价体系。</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（2）立项依据。</w:t>
      </w:r>
      <w:r>
        <w:rPr>
          <w:rFonts w:hint="eastAsia" w:ascii="仿宋_GB2312" w:hAnsi="仿宋_GB2312" w:eastAsia="仿宋_GB2312" w:cs="仿宋_GB2312"/>
          <w:sz w:val="32"/>
          <w:szCs w:val="32"/>
          <w:lang w:val="en-US" w:eastAsia="zh-CN"/>
        </w:rPr>
        <w:t>1.《自然资源部办公厅关于做好园地林地草地定级和基准地价制定有关工作的通知》（自然资办发〔2023〕399号）；《安徽省自然资源厅关于做好园地林地草地定级和基准地价制定有关工作的通知》（皖自然资用函〔2023〕23号）。</w:t>
      </w:r>
    </w:p>
    <w:p>
      <w:pPr>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（3）实施主体</w:t>
      </w:r>
      <w:r>
        <w:rPr>
          <w:rFonts w:hint="eastAsia" w:ascii="仿宋_GB2312" w:hAnsi="仿宋_GB2312" w:eastAsia="仿宋_GB2312" w:cs="仿宋_GB2312"/>
          <w:kern w:val="0"/>
          <w:sz w:val="32"/>
          <w:szCs w:val="32"/>
          <w:lang w:eastAsia="zh-CN"/>
        </w:rPr>
        <w:t>：淮北市地价管理所</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（4）起止时间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4.01</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4.12</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（5）项目内容。</w:t>
      </w:r>
      <w:r>
        <w:rPr>
          <w:rFonts w:hint="eastAsia" w:ascii="仿宋_GB2312" w:hAnsi="仿宋_GB2312" w:eastAsia="仿宋_GB2312" w:cs="仿宋_GB2312"/>
          <w:sz w:val="32"/>
          <w:szCs w:val="32"/>
          <w:lang w:val="en-US" w:eastAsia="zh-CN"/>
        </w:rPr>
        <w:t>根据第三次全国国土调查成果及2021年度国土变更调查数据为底图，对相山区、杜集区、烈山区范围内园地、林地、草地进行土地定级和基准地价制定。完成淮北市市辖区园地林地草地定级和基准地价制定工作，形成园地林地草地基准地价成果，完善淮北市公示地价体系。</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（6）年度预算安排</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23.2</w:t>
      </w:r>
      <w:r>
        <w:rPr>
          <w:rFonts w:hint="eastAsia" w:ascii="仿宋_GB2312" w:hAnsi="仿宋_GB2312" w:eastAsia="仿宋_GB2312" w:cs="仿宋_GB2312"/>
          <w:kern w:val="0"/>
          <w:sz w:val="32"/>
          <w:szCs w:val="32"/>
        </w:rPr>
        <w:t>万元</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（7）绩效目标。</w:t>
      </w:r>
    </w:p>
    <w:p/>
    <w:p>
      <w:pPr>
        <w:pStyle w:val="8"/>
      </w:pPr>
    </w:p>
    <w:p/>
    <w:tbl>
      <w:tblPr>
        <w:tblStyle w:val="9"/>
        <w:tblpPr w:leftFromText="180" w:rightFromText="180" w:vertAnchor="text" w:horzAnchor="page" w:tblpX="1769" w:tblpY="406"/>
        <w:tblOverlap w:val="never"/>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ind w:firstLine="3092" w:firstLineChars="1100"/>
              <w:jc w:val="both"/>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hint="eastAsia" w:ascii="宋体" w:eastAsia="宋体" w:cs="宋体"/>
                <w:sz w:val="20"/>
                <w:lang w:val="en-US" w:eastAsia="zh-CN"/>
              </w:rPr>
            </w:pPr>
            <w:r>
              <w:rPr>
                <w:rFonts w:hint="eastAsia" w:ascii="宋体" w:cs="宋体"/>
                <w:sz w:val="20"/>
              </w:rPr>
              <w:t>淮北市市辖区园地林地草地定级与基准地价制定项目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ascii="宋体" w:cs="宋体"/>
                <w:sz w:val="20"/>
              </w:rPr>
            </w:pPr>
            <w:r>
              <w:rPr>
                <w:rFonts w:hint="eastAsia" w:ascii="宋体" w:cs="宋体"/>
                <w:sz w:val="20"/>
              </w:rPr>
              <w:t>201-淮北市自然资源和规划局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lang w:eastAsia="zh-CN"/>
              </w:rPr>
              <w:t>淮北市地价管理所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ascii="宋体" w:cs="宋体"/>
                <w:sz w:val="20"/>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eastAsia="宋体"/>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top"/>
          </w:tcPr>
          <w:p>
            <w:pPr>
              <w:rPr>
                <w:rFonts w:ascii="宋体" w:hAnsi="宋体" w:eastAsia="宋体" w:cs="宋体"/>
                <w:kern w:val="2"/>
                <w:sz w:val="20"/>
                <w:szCs w:val="20"/>
                <w:lang w:val="en-US" w:eastAsia="zh-CN" w:bidi="ar-SA"/>
              </w:rPr>
            </w:pPr>
            <w:r>
              <w:rPr>
                <w:rFonts w:hint="eastAsia"/>
                <w:sz w:val="20"/>
                <w:szCs w:val="20"/>
              </w:rPr>
              <w:t xml:space="preserve"> 完成淮北市市辖区园地林地草地</w:t>
            </w:r>
            <w:r>
              <w:rPr>
                <w:rFonts w:hint="eastAsia"/>
                <w:sz w:val="20"/>
                <w:szCs w:val="20"/>
                <w:lang w:eastAsia="zh-CN"/>
              </w:rPr>
              <w:t>定级和</w:t>
            </w:r>
            <w:r>
              <w:rPr>
                <w:rFonts w:hint="eastAsia"/>
                <w:sz w:val="20"/>
                <w:szCs w:val="20"/>
              </w:rPr>
              <w:t>基准地价制定工作，形成园地林地草地基准地价成果，完善淮北市公示地价体系。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土地定级和基准地价制定面积</w:t>
            </w:r>
            <w:r>
              <w:rPr>
                <w:rFonts w:hint="eastAsia" w:ascii="宋体" w:cs="宋体"/>
                <w:sz w:val="20"/>
                <w:lang w:eastAsia="zh-CN"/>
              </w:rPr>
              <w:t>。</w:t>
            </w:r>
          </w:p>
        </w:tc>
        <w:tc>
          <w:tcPr>
            <w:tcW w:w="4228" w:type="dxa"/>
            <w:gridSpan w:val="2"/>
            <w:tcBorders>
              <w:tl2br w:val="nil"/>
              <w:tr2bl w:val="nil"/>
            </w:tcBorders>
            <w:noWrap w:val="0"/>
            <w:vAlign w:val="center"/>
          </w:tcPr>
          <w:p>
            <w:pPr>
              <w:numPr>
                <w:ilvl w:val="0"/>
                <w:numId w:val="2"/>
              </w:numPr>
              <w:tabs>
                <w:tab w:val="left" w:pos="1169"/>
              </w:tabs>
              <w:jc w:val="left"/>
              <w:rPr>
                <w:rFonts w:hint="default"/>
                <w:lang w:val="en-US" w:eastAsia="zh-CN"/>
              </w:rPr>
            </w:pPr>
            <w:r>
              <w:rPr>
                <w:rFonts w:hint="eastAsia" w:ascii="宋体" w:eastAsia="宋体" w:cs="宋体"/>
                <w:sz w:val="20"/>
                <w:lang w:val="en-US" w:eastAsia="zh-CN"/>
              </w:rPr>
              <w:t>园地43.58平方公里。2、林地93.13平方公里。3、草地13.3平方公里。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通过省厅验收</w:t>
            </w:r>
            <w:r>
              <w:rPr>
                <w:rFonts w:hint="eastAsia" w:ascii="宋体" w:cs="宋体"/>
                <w:sz w:val="20"/>
                <w:lang w:eastAsia="zh-CN"/>
              </w:rPr>
              <w:t>。</w:t>
            </w:r>
          </w:p>
        </w:tc>
        <w:tc>
          <w:tcPr>
            <w:tcW w:w="4228" w:type="dxa"/>
            <w:gridSpan w:val="2"/>
            <w:tcBorders>
              <w:tl2br w:val="nil"/>
              <w:tr2bl w:val="nil"/>
            </w:tcBorders>
            <w:noWrap w:val="0"/>
            <w:vAlign w:val="center"/>
          </w:tcPr>
          <w:p>
            <w:pPr>
              <w:jc w:val="center"/>
              <w:rPr>
                <w:rFonts w:hint="eastAsia" w:ascii="宋体" w:eastAsia="宋体" w:cs="宋体"/>
                <w:sz w:val="20"/>
                <w:szCs w:val="20"/>
                <w:lang w:eastAsia="zh-CN"/>
              </w:rPr>
            </w:pPr>
            <w:r>
              <w:rPr>
                <w:rFonts w:hint="eastAsia" w:ascii="宋体" w:eastAsia="宋体" w:cs="宋体"/>
                <w:sz w:val="20"/>
                <w:szCs w:val="20"/>
                <w:lang w:eastAsia="zh-CN"/>
              </w:rPr>
              <w:t>符合《园地林地草地定级规程（规范）和估价规程（规范），通过省厅验收，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val="en-US" w:eastAsia="zh-CN"/>
              </w:rPr>
              <w:t>2024年底通过验收</w:t>
            </w:r>
            <w:r>
              <w:rPr>
                <w:rFonts w:hint="eastAsia" w:ascii="宋体" w:cs="宋体"/>
                <w:sz w:val="20"/>
                <w:lang w:eastAsia="zh-CN"/>
              </w:rPr>
              <w:t>。</w:t>
            </w:r>
          </w:p>
        </w:tc>
        <w:tc>
          <w:tcPr>
            <w:tcW w:w="4228" w:type="dxa"/>
            <w:gridSpan w:val="2"/>
            <w:tcBorders>
              <w:tl2br w:val="nil"/>
              <w:tr2bl w:val="nil"/>
            </w:tcBorders>
            <w:noWrap w:val="0"/>
            <w:vAlign w:val="center"/>
          </w:tcPr>
          <w:p>
            <w:pPr>
              <w:jc w:val="center"/>
              <w:rPr>
                <w:rFonts w:ascii="宋体" w:cs="宋体"/>
                <w:sz w:val="20"/>
                <w:szCs w:val="20"/>
              </w:rPr>
            </w:pPr>
            <w:r>
              <w:rPr>
                <w:rFonts w:hint="eastAsia"/>
                <w:sz w:val="20"/>
                <w:szCs w:val="20"/>
              </w:rPr>
              <w:t>202</w:t>
            </w:r>
            <w:r>
              <w:rPr>
                <w:rFonts w:hint="eastAsia"/>
                <w:sz w:val="20"/>
                <w:szCs w:val="20"/>
                <w:lang w:val="en-US" w:eastAsia="zh-CN"/>
              </w:rPr>
              <w:t>4</w:t>
            </w:r>
            <w:r>
              <w:rPr>
                <w:rFonts w:hint="eastAsia"/>
                <w:sz w:val="20"/>
                <w:szCs w:val="20"/>
              </w:rPr>
              <w:t xml:space="preserve"> 年底完成城区</w:t>
            </w:r>
            <w:r>
              <w:rPr>
                <w:rFonts w:hint="eastAsia"/>
                <w:sz w:val="20"/>
                <w:szCs w:val="20"/>
                <w:lang w:eastAsia="zh-CN"/>
              </w:rPr>
              <w:t>园林草</w:t>
            </w:r>
            <w:r>
              <w:rPr>
                <w:rFonts w:hint="eastAsia"/>
                <w:sz w:val="20"/>
                <w:szCs w:val="20"/>
              </w:rPr>
              <w:t>基准地价更新、 202</w:t>
            </w:r>
            <w:r>
              <w:rPr>
                <w:rFonts w:hint="eastAsia"/>
                <w:sz w:val="20"/>
                <w:szCs w:val="20"/>
                <w:lang w:val="en-US" w:eastAsia="zh-CN"/>
              </w:rPr>
              <w:t>4</w:t>
            </w:r>
            <w:r>
              <w:rPr>
                <w:rFonts w:hint="eastAsia"/>
                <w:sz w:val="20"/>
                <w:szCs w:val="20"/>
              </w:rPr>
              <w:t>年度</w:t>
            </w:r>
            <w:r>
              <w:rPr>
                <w:rFonts w:hint="eastAsia"/>
                <w:sz w:val="20"/>
                <w:szCs w:val="20"/>
                <w:lang w:eastAsia="zh-CN"/>
              </w:rPr>
              <w:t>园林草</w:t>
            </w:r>
            <w:r>
              <w:rPr>
                <w:rFonts w:hint="eastAsia"/>
                <w:sz w:val="20"/>
                <w:szCs w:val="20"/>
              </w:rPr>
              <w:t>基准地价制定</w:t>
            </w:r>
            <w:r>
              <w:rPr>
                <w:rFonts w:hint="eastAsia" w:ascii="宋体" w:cs="宋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层层审批，严控成本</w:t>
            </w:r>
            <w:r>
              <w:rPr>
                <w:rFonts w:hint="eastAsia" w:ascii="宋体" w:cs="宋体"/>
                <w:sz w:val="20"/>
                <w:lang w:eastAsia="zh-CN"/>
              </w:rPr>
              <w:t>。</w:t>
            </w:r>
            <w:r>
              <w:rPr>
                <w:rFonts w:hint="eastAsia" w:ascii="宋体" w:hAnsi="宋体" w:eastAsia="宋体" w:cs="宋体"/>
                <w:color w:val="000000"/>
                <w:kern w:val="0"/>
                <w:sz w:val="20"/>
                <w:szCs w:val="20"/>
                <w:lang w:eastAsia="zh-CN"/>
              </w:rPr>
              <w:t>。</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严格审批制度，严控成本支出。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园林草基准地价</w:t>
            </w:r>
            <w:r>
              <w:rPr>
                <w:rFonts w:hint="eastAsia" w:ascii="宋体" w:cs="宋体"/>
                <w:sz w:val="20"/>
                <w:lang w:eastAsia="zh-CN"/>
              </w:rPr>
              <w:t>。</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显化园地林地草地资源资产质量和价值，直接服务自然资源有偿使用等工作。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jc w:val="center"/>
              <w:rPr>
                <w:rFonts w:hint="eastAsia" w:ascii="宋体" w:cs="宋体"/>
                <w:sz w:val="20"/>
                <w:lang w:eastAsia="zh-CN"/>
              </w:rPr>
            </w:pPr>
            <w:r>
              <w:rPr>
                <w:rFonts w:hint="eastAsia" w:ascii="宋体" w:cs="宋体"/>
                <w:sz w:val="20"/>
              </w:rPr>
              <w:t>指标1：</w:t>
            </w:r>
            <w:r>
              <w:rPr>
                <w:rFonts w:hint="eastAsia" w:ascii="宋体" w:hAnsi="宋体" w:eastAsia="宋体" w:cs="宋体"/>
                <w:color w:val="000000"/>
                <w:kern w:val="0"/>
                <w:sz w:val="20"/>
                <w:szCs w:val="20"/>
                <w:lang w:eastAsia="zh-CN"/>
              </w:rPr>
              <w:t>园林草基准地价制定</w:t>
            </w:r>
            <w:r>
              <w:rPr>
                <w:rFonts w:hint="eastAsia" w:ascii="宋体" w:cs="宋体"/>
                <w:sz w:val="20"/>
                <w:lang w:eastAsia="zh-CN"/>
              </w:rPr>
              <w:t>。</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有助于加强自然资源保护和合理开发利用。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rPr>
              <w:t>指标1：</w:t>
            </w:r>
            <w:r>
              <w:rPr>
                <w:rFonts w:hint="eastAsia" w:ascii="宋体" w:cs="宋体"/>
                <w:sz w:val="20"/>
                <w:lang w:eastAsia="zh-CN"/>
              </w:rPr>
              <w:t>林草定级。</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促进生态产品价值实现，推进自然资源管理向数量、质量与生态管理并重转变。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jc w:val="center"/>
              <w:rPr>
                <w:rFonts w:hint="eastAsia" w:ascii="宋体" w:cs="宋体"/>
                <w:sz w:val="20"/>
              </w:rPr>
            </w:pPr>
            <w:r>
              <w:rPr>
                <w:rFonts w:hint="eastAsia" w:ascii="宋体" w:cs="宋体"/>
                <w:sz w:val="20"/>
              </w:rPr>
              <w:t>指标1：通过验收</w:t>
            </w:r>
            <w:r>
              <w:rPr>
                <w:rFonts w:hint="eastAsia" w:ascii="宋体" w:cs="宋体"/>
                <w:sz w:val="20"/>
                <w:lang w:eastAsia="zh-CN"/>
              </w:rPr>
              <w:t>。</w:t>
            </w:r>
          </w:p>
        </w:tc>
        <w:tc>
          <w:tcPr>
            <w:tcW w:w="4228" w:type="dxa"/>
            <w:gridSpan w:val="2"/>
            <w:tcBorders>
              <w:tl2br w:val="nil"/>
              <w:tr2bl w:val="nil"/>
            </w:tcBorders>
            <w:noWrap w:val="0"/>
            <w:vAlign w:val="center"/>
          </w:tcPr>
          <w:p>
            <w:pPr>
              <w:jc w:val="center"/>
              <w:rPr>
                <w:rFonts w:hint="eastAsia" w:ascii="宋体" w:cs="宋体"/>
                <w:sz w:val="20"/>
                <w:lang w:eastAsia="zh-CN"/>
              </w:rPr>
            </w:pPr>
            <w:r>
              <w:rPr>
                <w:rFonts w:hint="eastAsia" w:ascii="宋体" w:cs="宋体"/>
                <w:sz w:val="20"/>
                <w:lang w:eastAsia="zh-CN"/>
              </w:rPr>
              <w:t>加强自然资源保护和合理开发利用。</w:t>
            </w:r>
            <w:r>
              <w:rPr>
                <w:rFonts w:hint="eastAsia" w:ascii="宋体" w:cs="宋体"/>
                <w:sz w:val="20"/>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jc w:val="center"/>
              <w:rPr>
                <w:rFonts w:hint="eastAsia" w:ascii="宋体" w:cs="宋体"/>
                <w:sz w:val="20"/>
                <w:lang w:eastAsia="zh-CN"/>
              </w:rPr>
            </w:pPr>
            <w:r>
              <w:rPr>
                <w:rFonts w:hint="eastAsia" w:ascii="宋体" w:cs="宋体"/>
                <w:sz w:val="20"/>
              </w:rPr>
              <w:t>指标1：</w:t>
            </w:r>
            <w:r>
              <w:rPr>
                <w:rFonts w:hint="eastAsia" w:ascii="宋体" w:cs="宋体"/>
                <w:sz w:val="20"/>
                <w:lang w:eastAsia="zh-CN"/>
              </w:rPr>
              <w:t>满意</w:t>
            </w:r>
          </w:p>
        </w:tc>
        <w:tc>
          <w:tcPr>
            <w:tcW w:w="4228" w:type="dxa"/>
            <w:gridSpan w:val="2"/>
            <w:tcBorders>
              <w:tl2br w:val="nil"/>
              <w:tr2bl w:val="nil"/>
            </w:tcBorders>
            <w:noWrap w:val="0"/>
            <w:vAlign w:val="center"/>
          </w:tcPr>
          <w:p>
            <w:pPr>
              <w:jc w:val="center"/>
              <w:rPr>
                <w:rFonts w:hint="default" w:ascii="宋体" w:cs="宋体"/>
                <w:sz w:val="20"/>
                <w:lang w:val="en-US" w:eastAsia="zh-CN"/>
              </w:rPr>
            </w:pPr>
            <w:r>
              <w:rPr>
                <w:rFonts w:hint="eastAsia" w:ascii="宋体" w:cs="宋体"/>
                <w:sz w:val="20"/>
                <w:lang w:val="en-US" w:eastAsia="zh-CN"/>
              </w:rPr>
              <w:t>100%</w:t>
            </w:r>
          </w:p>
        </w:tc>
      </w:tr>
    </w:tbl>
    <w:p>
      <w:pPr>
        <w:pStyle w:val="2"/>
      </w:pPr>
    </w:p>
    <w:p>
      <w:pPr>
        <w:ind w:firstLine="321" w:firstLineChars="1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kern w:val="0"/>
          <w:sz w:val="32"/>
          <w:szCs w:val="32"/>
          <w:lang w:val="en-US" w:eastAsia="zh-CN"/>
        </w:rPr>
        <w:t>“</w:t>
      </w:r>
      <w:r>
        <w:rPr>
          <w:rFonts w:hint="eastAsia" w:ascii="仿宋_GB2312" w:hAnsi="仿宋_GB2312" w:eastAsia="仿宋_GB2312" w:cs="仿宋_GB2312"/>
          <w:sz w:val="32"/>
          <w:szCs w:val="32"/>
          <w:lang w:val="en-US" w:eastAsia="zh-CN"/>
        </w:rPr>
        <w:t>办公运行</w:t>
      </w:r>
      <w:r>
        <w:rPr>
          <w:rFonts w:hint="eastAsia" w:ascii="仿宋_GB2312" w:hAnsi="仿宋_GB2312" w:eastAsia="仿宋_GB2312" w:cs="仿宋_GB2312"/>
          <w:b/>
          <w:bCs/>
          <w:kern w:val="0"/>
          <w:sz w:val="32"/>
          <w:szCs w:val="32"/>
          <w:lang w:val="en-US" w:eastAsia="zh-CN"/>
        </w:rPr>
        <w:t>”</w:t>
      </w:r>
      <w:r>
        <w:rPr>
          <w:rFonts w:hint="eastAsia" w:ascii="仿宋_GB2312" w:hAnsi="仿宋_GB2312" w:eastAsia="仿宋_GB2312" w:cs="仿宋_GB2312"/>
          <w:kern w:val="0"/>
          <w:sz w:val="32"/>
          <w:szCs w:val="32"/>
          <w:lang w:val="en-US" w:eastAsia="zh-CN"/>
        </w:rPr>
        <w:t>项目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（1）项目概述。</w:t>
      </w:r>
      <w:r>
        <w:rPr>
          <w:rFonts w:hint="eastAsia" w:ascii="仿宋_GB2312" w:hAnsi="仿宋_GB2312" w:eastAsia="仿宋_GB2312" w:cs="仿宋_GB2312"/>
          <w:sz w:val="32"/>
          <w:szCs w:val="32"/>
          <w:lang w:val="en-US" w:eastAsia="zh-CN"/>
        </w:rPr>
        <w:t>满足日常办公需求，保障各项工作任务正常运行，其中办公运行费用用于办公水电运行，网络系统运转维护费用，用于办公设备维护，耗材及零星购置；办公设备购置、风险评估费用。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（2）立项依据。</w:t>
      </w:r>
      <w:r>
        <w:rPr>
          <w:rFonts w:hint="eastAsia" w:ascii="仿宋_GB2312" w:hAnsi="仿宋_GB2312" w:eastAsia="仿宋_GB2312" w:cs="仿宋_GB2312"/>
          <w:sz w:val="32"/>
          <w:szCs w:val="32"/>
          <w:lang w:val="en-US" w:eastAsia="zh-CN"/>
        </w:rPr>
        <w:t>根据淮行管[2011]8号、财购[2011]27号用于办公水电运行,网络系统运转维护费用，办公设备维护、耗材及零星购置,办公设备购置、风险评估费用。</w:t>
      </w:r>
    </w:p>
    <w:p>
      <w:pPr>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（3）实施主体</w:t>
      </w:r>
      <w:r>
        <w:rPr>
          <w:rFonts w:hint="eastAsia" w:ascii="仿宋_GB2312" w:hAnsi="仿宋_GB2312" w:eastAsia="仿宋_GB2312" w:cs="仿宋_GB2312"/>
          <w:kern w:val="0"/>
          <w:sz w:val="32"/>
          <w:szCs w:val="32"/>
          <w:lang w:eastAsia="zh-CN"/>
        </w:rPr>
        <w:t>：淮北市地价管理所</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（4）起止时间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4.01</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4.12</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（5）项目内容。</w:t>
      </w:r>
      <w:r>
        <w:rPr>
          <w:rFonts w:hint="eastAsia" w:ascii="仿宋_GB2312" w:hAnsi="仿宋_GB2312" w:eastAsia="仿宋_GB2312" w:cs="仿宋_GB2312"/>
          <w:sz w:val="32"/>
          <w:szCs w:val="32"/>
          <w:lang w:val="en-US" w:eastAsia="zh-CN"/>
        </w:rPr>
        <w:t>1、办公运行费用。用于办公水电运行，网络系统运转维护费用，用于办公设备维护，耗材及零星购置。2办公设备购置、风险评估费用。</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（6）年度预算安排</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13.4</w:t>
      </w:r>
      <w:r>
        <w:rPr>
          <w:rFonts w:hint="eastAsia" w:ascii="仿宋_GB2312" w:hAnsi="仿宋_GB2312" w:eastAsia="仿宋_GB2312" w:cs="仿宋_GB2312"/>
          <w:kern w:val="0"/>
          <w:sz w:val="32"/>
          <w:szCs w:val="32"/>
        </w:rPr>
        <w:t>万元</w:t>
      </w:r>
    </w:p>
    <w:p>
      <w:pPr>
        <w:ind w:firstLine="640" w:firstLineChars="200"/>
      </w:pPr>
      <w:r>
        <w:rPr>
          <w:rFonts w:hint="eastAsia" w:ascii="仿宋_GB2312" w:hAnsi="仿宋_GB2312" w:eastAsia="仿宋_GB2312" w:cs="仿宋_GB2312"/>
          <w:kern w:val="0"/>
          <w:sz w:val="32"/>
          <w:szCs w:val="32"/>
        </w:rPr>
        <w:t>（7）绩效目标</w:t>
      </w:r>
      <w:r>
        <w:rPr>
          <w:rFonts w:hint="eastAsia" w:ascii="仿宋_GB2312" w:hAnsi="仿宋_GB2312" w:eastAsia="仿宋_GB2312" w:cs="仿宋_GB2312"/>
          <w:kern w:val="0"/>
          <w:sz w:val="32"/>
          <w:szCs w:val="32"/>
          <w:lang w:eastAsia="zh-CN"/>
        </w:rPr>
        <w:t>。</w:t>
      </w:r>
    </w:p>
    <w:tbl>
      <w:tblPr>
        <w:tblStyle w:val="9"/>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ind w:firstLine="3092" w:firstLineChars="1100"/>
              <w:jc w:val="both"/>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办公运行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201-淮北市自然资源和规划局</w:t>
            </w:r>
          </w:p>
        </w:tc>
        <w:tc>
          <w:tcPr>
            <w:tcW w:w="1848" w:type="dxa"/>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淮北市地价管理所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eastAsia" w:ascii="宋体" w:hAnsi="宋体" w:eastAsia="宋体" w:cs="宋体"/>
                <w:sz w:val="20"/>
                <w:szCs w:val="20"/>
              </w:rPr>
            </w:pP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eastAsia" w:ascii="宋体" w:hAnsi="宋体" w:eastAsia="宋体" w:cs="宋体"/>
                <w:sz w:val="20"/>
                <w:szCs w:val="20"/>
              </w:rPr>
            </w:pP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righ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eastAsia" w:ascii="宋体" w:hAnsi="宋体" w:eastAsia="宋体" w:cs="宋体"/>
                <w:sz w:val="20"/>
                <w:szCs w:val="20"/>
              </w:rPr>
            </w:pPr>
          </w:p>
        </w:tc>
        <w:tc>
          <w:tcPr>
            <w:tcW w:w="3349" w:type="dxa"/>
            <w:gridSpan w:val="2"/>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eastAsia" w:ascii="宋体" w:hAnsi="宋体" w:eastAsia="宋体" w:cs="宋体"/>
                <w:sz w:val="20"/>
                <w:szCs w:val="20"/>
              </w:rPr>
            </w:pPr>
            <w:r>
              <w:rPr>
                <w:rFonts w:hint="eastAsia" w:ascii="宋体" w:hAnsi="宋体" w:eastAsia="宋体" w:cs="宋体"/>
                <w:sz w:val="20"/>
                <w:szCs w:val="20"/>
                <w:lang w:val="en-US" w:eastAsia="zh-CN"/>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top"/>
          </w:tcPr>
          <w:p>
            <w:pPr>
              <w:rPr>
                <w:rFonts w:hint="eastAsia" w:ascii="宋体" w:hAnsi="宋体" w:eastAsia="宋体" w:cs="宋体"/>
                <w:kern w:val="2"/>
                <w:sz w:val="20"/>
                <w:szCs w:val="20"/>
                <w:lang w:val="en-US" w:eastAsia="zh-CN" w:bidi="ar-SA"/>
              </w:rPr>
            </w:pPr>
            <w:r>
              <w:rPr>
                <w:rFonts w:hint="eastAsia" w:ascii="宋体" w:hAnsi="宋体" w:eastAsia="宋体" w:cs="宋体"/>
                <w:sz w:val="20"/>
                <w:szCs w:val="20"/>
                <w:lang w:eastAsia="zh-CN"/>
              </w:rPr>
              <w:t>严格层层审批、严控成本，遵守财务规章制度。完成全年工作任务，保障各项业务顺利运行。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restart"/>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办公运行费用</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tabs>
                <w:tab w:val="left" w:pos="1169"/>
              </w:tabs>
              <w:jc w:val="center"/>
              <w:rPr>
                <w:rFonts w:hint="eastAsia" w:ascii="宋体" w:hAnsi="宋体" w:eastAsia="宋体" w:cs="宋体"/>
                <w:sz w:val="20"/>
                <w:szCs w:val="20"/>
                <w:lang w:eastAsia="zh-CN"/>
              </w:rPr>
            </w:pPr>
            <w:r>
              <w:rPr>
                <w:rFonts w:hint="eastAsia" w:ascii="宋体" w:hAnsi="宋体" w:cs="宋体"/>
                <w:sz w:val="20"/>
                <w:szCs w:val="20"/>
                <w:lang w:val="en-US" w:eastAsia="zh-CN"/>
              </w:rPr>
              <w:t>9</w:t>
            </w:r>
            <w:r>
              <w:rPr>
                <w:rFonts w:hint="eastAsia" w:ascii="宋体" w:hAnsi="宋体" w:eastAsia="宋体" w:cs="宋体"/>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szCs w:val="20"/>
                <w:lang w:eastAsia="zh-CN"/>
              </w:rPr>
            </w:pPr>
            <w:r>
              <w:rPr>
                <w:rFonts w:hint="eastAsia" w:ascii="宋体" w:hAnsi="宋体" w:eastAsia="宋体" w:cs="宋体"/>
                <w:color w:val="000000"/>
                <w:kern w:val="0"/>
                <w:sz w:val="20"/>
                <w:szCs w:val="20"/>
              </w:rPr>
              <w:t>指标1：办公质量</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rPr>
              <w:t>满足正常办公工作需求。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szCs w:val="20"/>
                <w:lang w:eastAsia="zh-CN"/>
              </w:rPr>
            </w:pPr>
            <w:r>
              <w:rPr>
                <w:rFonts w:hint="eastAsia" w:ascii="宋体" w:hAnsi="宋体" w:eastAsia="宋体" w:cs="宋体"/>
                <w:color w:val="000000"/>
                <w:kern w:val="0"/>
                <w:sz w:val="20"/>
                <w:szCs w:val="20"/>
              </w:rPr>
              <w:t>指标1：一年办公运行</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预算一年的时效性。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szCs w:val="20"/>
                <w:lang w:val="en-US" w:eastAsia="zh-CN"/>
              </w:rPr>
            </w:pPr>
            <w:r>
              <w:rPr>
                <w:rFonts w:hint="eastAsia" w:ascii="宋体" w:hAnsi="宋体" w:eastAsia="宋体" w:cs="宋体"/>
                <w:color w:val="000000"/>
                <w:kern w:val="0"/>
                <w:sz w:val="20"/>
                <w:szCs w:val="20"/>
              </w:rPr>
              <w:t>指标1：层层审批，严控成本</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13.4万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restart"/>
            <w:tcBorders>
              <w:tl2br w:val="nil"/>
              <w:tr2bl w:val="nil"/>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指标1：办公维护</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支持日常办公工作。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tabs>
                <w:tab w:val="center" w:pos="1328"/>
              </w:tabs>
              <w:jc w:val="left"/>
              <w:textAlignment w:val="center"/>
              <w:rPr>
                <w:rFonts w:hint="eastAsia" w:ascii="宋体" w:hAnsi="宋体" w:eastAsia="宋体" w:cs="宋体"/>
                <w:sz w:val="20"/>
                <w:szCs w:val="20"/>
                <w:lang w:eastAsia="zh-CN"/>
              </w:rPr>
            </w:pPr>
            <w:r>
              <w:rPr>
                <w:rFonts w:hint="eastAsia" w:ascii="宋体" w:hAnsi="宋体" w:eastAsia="宋体" w:cs="宋体"/>
                <w:color w:val="000000"/>
                <w:kern w:val="0"/>
                <w:sz w:val="20"/>
                <w:szCs w:val="20"/>
              </w:rPr>
              <w:t>指标1：日常办公维护</w:t>
            </w:r>
            <w:r>
              <w:rPr>
                <w:rFonts w:hint="eastAsia" w:ascii="宋体" w:hAnsi="宋体" w:eastAsia="宋体" w:cs="宋体"/>
                <w:color w:val="000000"/>
                <w:kern w:val="0"/>
                <w:sz w:val="20"/>
                <w:szCs w:val="20"/>
                <w:lang w:eastAsia="zh-CN"/>
              </w:rPr>
              <w:tab/>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完成一年工作目标。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指标1：日常办公维护运行</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完成一年工作目标。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szCs w:val="20"/>
              </w:rPr>
            </w:pPr>
            <w:r>
              <w:rPr>
                <w:rFonts w:hint="eastAsia" w:ascii="宋体" w:hAnsi="宋体" w:eastAsia="宋体" w:cs="宋体"/>
                <w:sz w:val="20"/>
                <w:szCs w:val="20"/>
              </w:rPr>
              <w:t>可持续影响指标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指标1：日常办公</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pPr>
              <w:tabs>
                <w:tab w:val="left" w:pos="402"/>
              </w:tabs>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完成一年工作计划。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38" w:type="dxa"/>
            <w:vMerge w:val="continue"/>
            <w:tcBorders>
              <w:tl2br w:val="nil"/>
              <w:tr2bl w:val="nil"/>
            </w:tcBorders>
            <w:noWrap w:val="0"/>
            <w:vAlign w:val="center"/>
          </w:tcPr>
          <w:p>
            <w:pPr>
              <w:jc w:val="center"/>
              <w:rPr>
                <w:rFonts w:hint="eastAsia" w:ascii="宋体" w:hAnsi="宋体" w:eastAsia="宋体" w:cs="宋体"/>
                <w:sz w:val="20"/>
                <w:szCs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szCs w:val="20"/>
              </w:rPr>
            </w:pPr>
            <w:r>
              <w:rPr>
                <w:rFonts w:hint="eastAsia" w:ascii="宋体" w:hAnsi="宋体" w:eastAsia="宋体" w:cs="宋体"/>
                <w:sz w:val="20"/>
                <w:szCs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szCs w:val="20"/>
              </w:rPr>
            </w:pPr>
            <w:r>
              <w:rPr>
                <w:rFonts w:hint="eastAsia" w:ascii="宋体" w:hAnsi="宋体" w:eastAsia="宋体" w:cs="宋体"/>
                <w:sz w:val="20"/>
                <w:szCs w:val="20"/>
              </w:rPr>
              <w:t>满意度指标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满意</w:t>
            </w:r>
          </w:p>
        </w:tc>
        <w:tc>
          <w:tcPr>
            <w:tcW w:w="4228" w:type="dxa"/>
            <w:gridSpan w:val="2"/>
            <w:tcBorders>
              <w:tl2br w:val="nil"/>
              <w:tr2bl w:val="nil"/>
            </w:tcBorders>
            <w:noWrap w:val="0"/>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w:t>
            </w:r>
          </w:p>
        </w:tc>
      </w:tr>
    </w:tbl>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地价管理所</w:t>
      </w:r>
      <w:r>
        <w:rPr>
          <w:rFonts w:hint="eastAsia" w:ascii="TimesNewRoman" w:hAnsi="TimesNewRoman" w:eastAsia="仿宋_GB2312" w:cs="TimesNewRoman"/>
          <w:kern w:val="0"/>
          <w:sz w:val="32"/>
          <w:szCs w:val="32"/>
        </w:rPr>
        <w:t>为非参照公务员法管理的事业单位，按照部门预算机关运行经费口径，2024年无机关运行经费财政拨款预算。</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地价管理所</w:t>
      </w:r>
      <w:r>
        <w:rPr>
          <w:rFonts w:hint="eastAsia" w:ascii="TimesNewRoman" w:hAnsi="TimesNewRoman" w:eastAsia="仿宋_GB2312" w:cs="TimesNewRoman"/>
          <w:kern w:val="0"/>
          <w:sz w:val="32"/>
          <w:szCs w:val="32"/>
        </w:rPr>
        <w:t>2024年政府采购预算</w:t>
      </w:r>
      <w:r>
        <w:rPr>
          <w:rFonts w:hint="eastAsia" w:ascii="TimesNewRoman" w:hAnsi="TimesNewRoman" w:eastAsia="仿宋_GB2312" w:cs="TimesNewRoman"/>
          <w:kern w:val="0"/>
          <w:sz w:val="32"/>
          <w:szCs w:val="32"/>
          <w:lang w:val="en-US" w:eastAsia="zh-CN"/>
        </w:rPr>
        <w:t>13.46</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13.46</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截至2023年12月31日，淮北市</w:t>
      </w:r>
      <w:r>
        <w:rPr>
          <w:rFonts w:hint="eastAsia" w:ascii="TimesNewRoman" w:hAnsi="TimesNewRoman" w:eastAsia="仿宋_GB2312" w:cs="TimesNewRoman"/>
          <w:kern w:val="0"/>
          <w:sz w:val="32"/>
          <w:szCs w:val="32"/>
          <w:lang w:eastAsia="zh-CN"/>
        </w:rPr>
        <w:t>地价管理所</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辆，其中：其他用车</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2024年部门（单位）预算安排购置公务用车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2024年，淮北市</w:t>
      </w:r>
      <w:r>
        <w:rPr>
          <w:rFonts w:hint="eastAsia" w:ascii="TimesNewRoman" w:hAnsi="TimesNewRoman" w:eastAsia="仿宋_GB2312" w:cs="TimesNewRoman"/>
          <w:kern w:val="0"/>
          <w:sz w:val="32"/>
          <w:szCs w:val="32"/>
          <w:lang w:eastAsia="zh-CN"/>
        </w:rPr>
        <w:t>地价管理所</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64.76</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7"/>
        <w:adjustRightInd w:val="0"/>
        <w:snapToGrid w:val="0"/>
        <w:spacing w:line="560" w:lineRule="exact"/>
        <w:jc w:val="center"/>
        <w:rPr>
          <w:rFonts w:ascii="TimesNewRoman" w:hAnsi="TimesNewRoman" w:eastAsia="黑体" w:cs="TimesNewRoman"/>
          <w:bCs/>
          <w:sz w:val="36"/>
          <w:szCs w:val="36"/>
        </w:rPr>
      </w:pPr>
    </w:p>
    <w:p>
      <w:pPr>
        <w:pStyle w:val="7"/>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
    <w:p/>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imesNewRoman">
    <w:altName w:val="Segoe Print"/>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MS Shell Dlg">
    <w:altName w:val="Microsoft Sans Serif"/>
    <w:panose1 w:val="020B0604020202020204"/>
    <w:charset w:val="00"/>
    <w:family w:val="swiss"/>
    <w:pitch w:val="default"/>
    <w:sig w:usb0="00000000" w:usb1="00000000" w:usb2="00000029" w:usb3="00000000" w:csb0="000101F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Microsoft Sans Serif">
    <w:panose1 w:val="020B0604020202020204"/>
    <w:charset w:val="00"/>
    <w:family w:val="auto"/>
    <w:pitch w:val="default"/>
    <w:sig w:usb0="E5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5553"/>
    <w:multiLevelType w:val="singleLevel"/>
    <w:tmpl w:val="07285553"/>
    <w:lvl w:ilvl="0" w:tentative="0">
      <w:start w:val="1"/>
      <w:numFmt w:val="chineseCounting"/>
      <w:suff w:val="nothing"/>
      <w:lvlText w:val="（%1）"/>
      <w:lvlJc w:val="left"/>
      <w:rPr>
        <w:rFonts w:hint="eastAsia"/>
      </w:rPr>
    </w:lvl>
  </w:abstractNum>
  <w:abstractNum w:abstractNumId="1">
    <w:nsid w:val="4C8EF39C"/>
    <w:multiLevelType w:val="singleLevel"/>
    <w:tmpl w:val="4C8EF39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Y2MmM0ZTU3MDQ1YTRjYzE4NTU1NWZlYzk1YzRmYWIifQ=="/>
  </w:docVars>
  <w:rsids>
    <w:rsidRoot w:val="00E907C4"/>
    <w:rsid w:val="000E28EE"/>
    <w:rsid w:val="00267E33"/>
    <w:rsid w:val="004A4DC6"/>
    <w:rsid w:val="0057562B"/>
    <w:rsid w:val="006546AF"/>
    <w:rsid w:val="00726D96"/>
    <w:rsid w:val="008F6D1A"/>
    <w:rsid w:val="009A3CA3"/>
    <w:rsid w:val="00AE3242"/>
    <w:rsid w:val="00BD640A"/>
    <w:rsid w:val="00DB2A5C"/>
    <w:rsid w:val="00E907C4"/>
    <w:rsid w:val="00EB7E60"/>
    <w:rsid w:val="00EC7755"/>
    <w:rsid w:val="00F974AD"/>
    <w:rsid w:val="01AF0121"/>
    <w:rsid w:val="021C29C7"/>
    <w:rsid w:val="02497534"/>
    <w:rsid w:val="02DC2156"/>
    <w:rsid w:val="0315318D"/>
    <w:rsid w:val="043468E1"/>
    <w:rsid w:val="04DE5C3C"/>
    <w:rsid w:val="05333D50"/>
    <w:rsid w:val="06986394"/>
    <w:rsid w:val="06E94E42"/>
    <w:rsid w:val="06EA154F"/>
    <w:rsid w:val="07860FE4"/>
    <w:rsid w:val="079C3627"/>
    <w:rsid w:val="07D478A0"/>
    <w:rsid w:val="09336A19"/>
    <w:rsid w:val="095064B1"/>
    <w:rsid w:val="0A2C13B3"/>
    <w:rsid w:val="0A86689A"/>
    <w:rsid w:val="0B7546B3"/>
    <w:rsid w:val="0C6E5437"/>
    <w:rsid w:val="0D436A7C"/>
    <w:rsid w:val="0E18320E"/>
    <w:rsid w:val="0F27519E"/>
    <w:rsid w:val="10172A20"/>
    <w:rsid w:val="10BC7123"/>
    <w:rsid w:val="112326A3"/>
    <w:rsid w:val="1211524D"/>
    <w:rsid w:val="12CF313E"/>
    <w:rsid w:val="13B935AC"/>
    <w:rsid w:val="13D834E6"/>
    <w:rsid w:val="13F05A62"/>
    <w:rsid w:val="14E755EF"/>
    <w:rsid w:val="14FD6F4B"/>
    <w:rsid w:val="15385905"/>
    <w:rsid w:val="15ED3F86"/>
    <w:rsid w:val="16122058"/>
    <w:rsid w:val="162E4347"/>
    <w:rsid w:val="168D7D37"/>
    <w:rsid w:val="17626D39"/>
    <w:rsid w:val="180A02BF"/>
    <w:rsid w:val="19444E4A"/>
    <w:rsid w:val="1A5605E9"/>
    <w:rsid w:val="1B4E7126"/>
    <w:rsid w:val="1BCE52F9"/>
    <w:rsid w:val="1C774065"/>
    <w:rsid w:val="1CBF4223"/>
    <w:rsid w:val="1CC500A1"/>
    <w:rsid w:val="1D25317C"/>
    <w:rsid w:val="1D26355D"/>
    <w:rsid w:val="1DA17227"/>
    <w:rsid w:val="1E236A34"/>
    <w:rsid w:val="1E991BE4"/>
    <w:rsid w:val="1F29421A"/>
    <w:rsid w:val="1F882CCE"/>
    <w:rsid w:val="20563153"/>
    <w:rsid w:val="20BE2A44"/>
    <w:rsid w:val="212F1E92"/>
    <w:rsid w:val="214E3E2D"/>
    <w:rsid w:val="220C40C4"/>
    <w:rsid w:val="225E5B33"/>
    <w:rsid w:val="22A5535A"/>
    <w:rsid w:val="238A15A3"/>
    <w:rsid w:val="24D2430B"/>
    <w:rsid w:val="252723FA"/>
    <w:rsid w:val="255E3D4E"/>
    <w:rsid w:val="26FA1A3B"/>
    <w:rsid w:val="28137B19"/>
    <w:rsid w:val="287B7A2B"/>
    <w:rsid w:val="29ED5E2A"/>
    <w:rsid w:val="2BEE4C55"/>
    <w:rsid w:val="2C5657D8"/>
    <w:rsid w:val="2D0D4C33"/>
    <w:rsid w:val="2DBA1017"/>
    <w:rsid w:val="2FB27C17"/>
    <w:rsid w:val="301B3A0F"/>
    <w:rsid w:val="32555F91"/>
    <w:rsid w:val="32712391"/>
    <w:rsid w:val="32BD70B3"/>
    <w:rsid w:val="32DA195F"/>
    <w:rsid w:val="33467225"/>
    <w:rsid w:val="33FC76B3"/>
    <w:rsid w:val="35531555"/>
    <w:rsid w:val="35601659"/>
    <w:rsid w:val="359C73A0"/>
    <w:rsid w:val="36435A6D"/>
    <w:rsid w:val="3694453B"/>
    <w:rsid w:val="37D8637B"/>
    <w:rsid w:val="38664AFD"/>
    <w:rsid w:val="38A409E3"/>
    <w:rsid w:val="3AF15544"/>
    <w:rsid w:val="3BD056E5"/>
    <w:rsid w:val="3C9506A5"/>
    <w:rsid w:val="3D2E4D81"/>
    <w:rsid w:val="3D6D513E"/>
    <w:rsid w:val="3E2362CC"/>
    <w:rsid w:val="3E3E3F45"/>
    <w:rsid w:val="3E506F79"/>
    <w:rsid w:val="3EF36D1B"/>
    <w:rsid w:val="42536CBD"/>
    <w:rsid w:val="426C2FE5"/>
    <w:rsid w:val="4348647B"/>
    <w:rsid w:val="454B3FF6"/>
    <w:rsid w:val="46A16022"/>
    <w:rsid w:val="46F9632B"/>
    <w:rsid w:val="47C45875"/>
    <w:rsid w:val="48044C45"/>
    <w:rsid w:val="49594CEC"/>
    <w:rsid w:val="49B46D87"/>
    <w:rsid w:val="49E9381A"/>
    <w:rsid w:val="4A880C18"/>
    <w:rsid w:val="4A8D1E31"/>
    <w:rsid w:val="4ACE1F3B"/>
    <w:rsid w:val="4C5C2F8D"/>
    <w:rsid w:val="4C9D15DC"/>
    <w:rsid w:val="4D07114B"/>
    <w:rsid w:val="4D244E84"/>
    <w:rsid w:val="4D667F36"/>
    <w:rsid w:val="4D7E6575"/>
    <w:rsid w:val="4E41243B"/>
    <w:rsid w:val="4E9764FE"/>
    <w:rsid w:val="4F4641AC"/>
    <w:rsid w:val="502D1543"/>
    <w:rsid w:val="516052CE"/>
    <w:rsid w:val="517D5E7F"/>
    <w:rsid w:val="546142E3"/>
    <w:rsid w:val="548E3F00"/>
    <w:rsid w:val="54B2372E"/>
    <w:rsid w:val="562B2188"/>
    <w:rsid w:val="5661471A"/>
    <w:rsid w:val="567C4958"/>
    <w:rsid w:val="56D95906"/>
    <w:rsid w:val="56FC7846"/>
    <w:rsid w:val="5836530A"/>
    <w:rsid w:val="58675CFF"/>
    <w:rsid w:val="58A45480"/>
    <w:rsid w:val="5A1F5EC1"/>
    <w:rsid w:val="5A7A7400"/>
    <w:rsid w:val="5B3C193C"/>
    <w:rsid w:val="5C761E49"/>
    <w:rsid w:val="5D382E63"/>
    <w:rsid w:val="5E331DA0"/>
    <w:rsid w:val="605F0041"/>
    <w:rsid w:val="60624676"/>
    <w:rsid w:val="60BA180C"/>
    <w:rsid w:val="613F5F81"/>
    <w:rsid w:val="61434C12"/>
    <w:rsid w:val="614E344B"/>
    <w:rsid w:val="61791ED2"/>
    <w:rsid w:val="618F4546"/>
    <w:rsid w:val="62212D38"/>
    <w:rsid w:val="62574A76"/>
    <w:rsid w:val="62E6159D"/>
    <w:rsid w:val="637721C3"/>
    <w:rsid w:val="642C5E77"/>
    <w:rsid w:val="64D9199D"/>
    <w:rsid w:val="64F47DAF"/>
    <w:rsid w:val="657B3962"/>
    <w:rsid w:val="65A54721"/>
    <w:rsid w:val="66B27F22"/>
    <w:rsid w:val="66B90F60"/>
    <w:rsid w:val="66C51A03"/>
    <w:rsid w:val="66C537B1"/>
    <w:rsid w:val="677A3180"/>
    <w:rsid w:val="67E23CC1"/>
    <w:rsid w:val="687221D0"/>
    <w:rsid w:val="68A627ED"/>
    <w:rsid w:val="68CB11F8"/>
    <w:rsid w:val="6A0075D2"/>
    <w:rsid w:val="6A2A3307"/>
    <w:rsid w:val="6A3D7B02"/>
    <w:rsid w:val="6A6F6218"/>
    <w:rsid w:val="6BB33B5E"/>
    <w:rsid w:val="6D0263A9"/>
    <w:rsid w:val="6DA47047"/>
    <w:rsid w:val="6E76764A"/>
    <w:rsid w:val="6E8508A3"/>
    <w:rsid w:val="6EF84BE0"/>
    <w:rsid w:val="71871F2A"/>
    <w:rsid w:val="7247604B"/>
    <w:rsid w:val="72525EE8"/>
    <w:rsid w:val="72D95F6E"/>
    <w:rsid w:val="72E80751"/>
    <w:rsid w:val="731A2632"/>
    <w:rsid w:val="73524682"/>
    <w:rsid w:val="73B250BD"/>
    <w:rsid w:val="73E624A4"/>
    <w:rsid w:val="755965F7"/>
    <w:rsid w:val="75B07B59"/>
    <w:rsid w:val="77203E88"/>
    <w:rsid w:val="77282BFE"/>
    <w:rsid w:val="7775265F"/>
    <w:rsid w:val="77DA4D5E"/>
    <w:rsid w:val="781F2C8E"/>
    <w:rsid w:val="784D6267"/>
    <w:rsid w:val="79A34CE9"/>
    <w:rsid w:val="7A434CC1"/>
    <w:rsid w:val="7A6C214D"/>
    <w:rsid w:val="7B6A44CF"/>
    <w:rsid w:val="7BC260B9"/>
    <w:rsid w:val="7BCB5B45"/>
    <w:rsid w:val="7C240B22"/>
    <w:rsid w:val="7C870B4A"/>
    <w:rsid w:val="7CA533B9"/>
    <w:rsid w:val="7D512318"/>
    <w:rsid w:val="7F9606B7"/>
    <w:rsid w:val="7FDC4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3">
    <w:name w:val="heading 3"/>
    <w:basedOn w:val="1"/>
    <w:next w:val="1"/>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qFormat/>
    <w:uiPriority w:val="10"/>
    <w:pPr>
      <w:autoSpaceDE w:val="0"/>
      <w:autoSpaceDN w:val="0"/>
      <w:snapToGrid w:val="0"/>
      <w:spacing w:line="560" w:lineRule="exact"/>
      <w:ind w:firstLine="200" w:firstLineChars="200"/>
      <w:jc w:val="left"/>
    </w:pPr>
    <w:rPr>
      <w:rFonts w:ascii="仿宋" w:hAnsi="仿宋" w:eastAsia="仿宋" w:cs="Times New Roman"/>
      <w:bCs/>
      <w:sz w:val="30"/>
      <w:szCs w:val="32"/>
    </w:r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semiHidden/>
    <w:qFormat/>
    <w:uiPriority w:val="99"/>
    <w:rPr>
      <w:sz w:val="18"/>
      <w:szCs w:val="18"/>
    </w:rPr>
  </w:style>
  <w:style w:type="character" w:customStyle="1" w:styleId="13">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9796</Words>
  <Characters>10906</Characters>
  <Lines>46</Lines>
  <Paragraphs>13</Paragraphs>
  <TotalTime>18</TotalTime>
  <ScaleCrop>false</ScaleCrop>
  <LinksUpToDate>false</LinksUpToDate>
  <CharactersWithSpaces>11277</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Administrator</cp:lastModifiedBy>
  <cp:lastPrinted>2024-03-01T09:10:00Z</cp:lastPrinted>
  <dcterms:modified xsi:type="dcterms:W3CDTF">2024-12-13T02:41:36Z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2EDACBE8FB2B47768DFB4FB0A799D74A_12</vt:lpwstr>
  </property>
</Properties>
</file>