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淮北市自然资源和规划局杜集分局</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3</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2024年政府采购支出表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淮北市自然资源和规划局杜集分局</w:t>
      </w:r>
      <w:r>
        <w:rPr>
          <w:rFonts w:ascii="TimesNewRoman" w:hAnsi="TimesNewRoman" w:eastAsia="仿宋_GB2312" w:cs="TimesNewRoman"/>
          <w:bCs/>
          <w:sz w:val="32"/>
          <w:szCs w:val="32"/>
        </w:rPr>
        <w:t>2024年通用资产配置支出表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2024年部门预算专项资金管理清单（专栏公开）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w:t>
      </w:r>
      <w:r>
        <w:rPr>
          <w:rFonts w:hint="eastAsia" w:ascii="TimesNewRoman" w:hAnsi="TimesNewRoman" w:eastAsia="黑体" w:cs="TimesNewRoman"/>
          <w:bCs/>
          <w:sz w:val="36"/>
          <w:szCs w:val="36"/>
          <w:highlight w:val="none"/>
        </w:rPr>
        <w:t>分</w:t>
      </w:r>
      <w:r>
        <w:rPr>
          <w:rFonts w:hint="eastAsia" w:ascii="TimesNewRoman" w:hAnsi="TimesNewRoman" w:eastAsia="黑体" w:cs="TimesNewRoman"/>
          <w:bCs/>
          <w:sz w:val="36"/>
          <w:szCs w:val="36"/>
          <w:highlight w:val="none"/>
          <w:lang w:val="en-US" w:eastAsia="zh-CN"/>
        </w:rPr>
        <w:t xml:space="preserve"> </w:t>
      </w:r>
      <w:r>
        <w:rPr>
          <w:rFonts w:hint="eastAsia" w:ascii="TimesNewRoman" w:hAnsi="TimesNewRoman" w:eastAsia="黑体" w:cs="TimesNewRoman"/>
          <w:bCs/>
          <w:sz w:val="36"/>
          <w:szCs w:val="36"/>
          <w:highlight w:val="none"/>
        </w:rPr>
        <w:t>单位概</w:t>
      </w:r>
      <w:r>
        <w:rPr>
          <w:rFonts w:hint="eastAsia" w:ascii="TimesNewRoman" w:hAnsi="TimesNewRoman" w:eastAsia="黑体" w:cs="TimesNewRoman"/>
          <w:bCs/>
          <w:sz w:val="36"/>
          <w:szCs w:val="36"/>
        </w:rPr>
        <w:t>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淮北市自然资源和规划局杜集分局为市自然资源和规划局正科级派出机构，负责辖区范围内的自然资源规划、林业等管理工作，承担市自然资源和规划局交办的各项工作任务。其中，林业工作接受市林业局的指导。</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highlight w:val="none"/>
        </w:rPr>
        <w:t>单位</w:t>
      </w:r>
      <w:r>
        <w:rPr>
          <w:rFonts w:hint="eastAsia" w:ascii="TimesNewRoman" w:hAnsi="TimesNewRoman" w:eastAsia="黑体" w:cs="TimesNewRoman"/>
          <w:bCs/>
          <w:sz w:val="32"/>
          <w:szCs w:val="32"/>
        </w:rPr>
        <w:t>预算构成</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sz w:val="32"/>
          <w:szCs w:val="32"/>
        </w:rPr>
        <w:t>2024年度部门预算包括</w:t>
      </w:r>
      <w:r>
        <w:rPr>
          <w:rFonts w:hint="eastAsia" w:ascii="仿宋_GB2312" w:hAnsi="仿宋" w:eastAsia="仿宋_GB2312" w:cs="仿宋"/>
          <w:bCs/>
          <w:kern w:val="0"/>
          <w:sz w:val="32"/>
          <w:szCs w:val="32"/>
        </w:rPr>
        <w:t>分局本级预算</w:t>
      </w:r>
      <w:r>
        <w:rPr>
          <w:rFonts w:hint="eastAsia" w:ascii="TimesNewRoman" w:hAnsi="TimesNewRoman" w:eastAsia="仿宋_GB2312" w:cs="TimesNewRoman"/>
          <w:sz w:val="32"/>
          <w:szCs w:val="32"/>
        </w:rPr>
        <w:t>，无其他下属单位预算。</w:t>
      </w:r>
    </w:p>
    <w:p>
      <w:pPr>
        <w:pStyle w:val="5"/>
        <w:adjustRightInd w:val="0"/>
        <w:snapToGrid w:val="0"/>
        <w:spacing w:line="560" w:lineRule="exact"/>
        <w:ind w:firstLine="627" w:firstLineChars="196"/>
        <w:rPr>
          <w:rFonts w:ascii="TimesNewRoman" w:hAnsi="TimesNewRoman" w:eastAsia="黑体" w:cs="TimesNewRoman"/>
          <w:bCs/>
          <w:sz w:val="32"/>
          <w:szCs w:val="32"/>
        </w:rPr>
      </w:pPr>
      <w:bookmarkStart w:id="0" w:name="_GoBack"/>
      <w:bookmarkEnd w:id="0"/>
      <w:r>
        <w:rPr>
          <w:rFonts w:hint="eastAsia" w:ascii="TimesNewRoman" w:hAnsi="TimesNewRoman" w:eastAsia="黑体" w:cs="TimesNewRoman"/>
          <w:bCs/>
          <w:sz w:val="32"/>
          <w:szCs w:val="32"/>
        </w:rPr>
        <w:t>三、2024年度主要工作任务</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积极主动作为，全力以赴做好党建工作引领。以习近平新时代中国特色社会主义思想为指导，深入学习贯彻党的二十大精神，抓好学习贯彻习近平新时代中国特色社会主义思想主题教育工作，切实把学习成果转化为推动自然资源工作高质量发展的新思路、新举措。积极落实“三会一课”、主题党日活动等制度，丰富党课形式，不断增强党内政治生活活力。抓好意识形态、保密、法制建设等工作，教育引导广大党员、干部坚定理想信念。</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严守耕地红线，从严管控保护永久基本农田。围绕“粮食安全”“国家安全”永恒主题，加强耕地用途管制，规范占补平衡，强化土地流转用途监管。深挖后备耕地资源潜力，结合实际统筹后备耕地资源，据实开展后备资源调查评价。深入推进自然资源执法监察网格化管理，切实保护耕地、端稳粮食饭碗。</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科学系统谋划，全面开展国土空间规划编制。充分衔接上位规划，加大村庄规划编制力度，按照节约集约用地的原则，严守永久基本农田、生态保护红线等底线，严格村庄规划规模管控，加快村庄规划编制审批，为国土空间规划“一张图”管理打下坚实基础。</w:t>
      </w:r>
    </w:p>
    <w:p>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坚持节约集约，多措并举加快推进土地供应。落实“增存挂钩”，持续推进批而未供和闲置土地处置工作，积极探索耕地保护工作创新思路，进一步节约资源，提高效能。加大批而未供土地清理工作力度，完善全区形成批而未供土地“一张图”机制，提高土地节约集约利用水平。推进成片开发方案编制工作，加大获批成片开发方案落实力度，确保批的下、用的了、管的好。</w:t>
      </w:r>
    </w:p>
    <w:p>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聚焦生态修复，加大力度推进生态文明建设。认真贯彻落实习近平生态文明思想，坚决守住自然生态安全边界，以土地用途管制为抓手，加快推进绿色低碳发展，全面提高区域内土地资源利用率。推进采煤沉陷区综合治理，探索利用市场化方式推进废弃矿山生态修复，在促进人与自然和谐共生上久久为功。</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w:t>
      </w:r>
      <w:r>
        <w:rPr>
          <w:rFonts w:hint="eastAsia" w:ascii="TimesNewRoman" w:hAnsi="TimesNewRoman" w:eastAsia="黑体" w:cs="TimesNewRoman"/>
          <w:bCs/>
          <w:sz w:val="36"/>
          <w:szCs w:val="36"/>
          <w:highlight w:val="none"/>
        </w:rPr>
        <w:t>年单位预</w:t>
      </w:r>
      <w:r>
        <w:rPr>
          <w:rFonts w:hint="eastAsia" w:ascii="TimesNewRoman" w:hAnsi="TimesNewRoman" w:eastAsia="黑体" w:cs="TimesNewRoman"/>
          <w:bCs/>
          <w:sz w:val="36"/>
          <w:szCs w:val="36"/>
        </w:rPr>
        <w:t>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highlight w:val="none"/>
        </w:rPr>
        <w:t>单位预算</w:t>
      </w:r>
      <w:r>
        <w:rPr>
          <w:rFonts w:hint="eastAsia" w:ascii="TimesNewRoman" w:hAnsi="TimesNewRoman" w:eastAsia="黑体" w:cs="TimesNewRoman"/>
          <w:bCs/>
          <w:sz w:val="36"/>
          <w:szCs w:val="36"/>
        </w:rPr>
        <w:t>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淮北市自然资源和规划局杜集分局</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sz w:val="32"/>
          <w:szCs w:val="32"/>
          <w:lang w:eastAsia="zh-CN"/>
        </w:rPr>
        <w:t>淮北市自然资源和规划局杜集分局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sz w:val="32"/>
          <w:szCs w:val="32"/>
        </w:rPr>
        <w:t>万元，收入包括一般公共预算拨款收入、政府性基金预算拨款收入</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支出包括：社会保障和就业支出、卫生健康支出、城乡社区支出</w:t>
      </w:r>
      <w:r>
        <w:rPr>
          <w:rFonts w:hint="eastAsia" w:ascii="TimesNewRoman" w:hAnsi="TimesNewRoman" w:eastAsia="仿宋_GB2312" w:cs="TimesNewRoman"/>
          <w:sz w:val="32"/>
          <w:szCs w:val="32"/>
          <w:lang w:eastAsia="zh-CN"/>
        </w:rPr>
        <w:t>、自然资源海洋气象等支出、</w:t>
      </w:r>
      <w:r>
        <w:rPr>
          <w:rFonts w:hint="eastAsia" w:ascii="TimesNewRoman" w:hAnsi="TimesNewRoman" w:eastAsia="仿宋_GB2312" w:cs="TimesNewRoman"/>
          <w:sz w:val="32"/>
          <w:szCs w:val="32"/>
        </w:rPr>
        <w:t>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609.09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84.08</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61.51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15.92</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val="en-US" w:eastAsia="zh-CN"/>
        </w:rPr>
        <w:t>一致，主要原因为本单位无</w:t>
      </w:r>
      <w:r>
        <w:rPr>
          <w:rFonts w:hint="eastAsia" w:ascii="TimesNewRoman" w:hAnsi="TimesNewRoman" w:eastAsia="仿宋_GB2312" w:cs="TimesNewRoman"/>
          <w:kern w:val="0"/>
          <w:sz w:val="32"/>
          <w:szCs w:val="32"/>
        </w:rPr>
        <w:t>财政专户管理资金收入。</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609.09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61.49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84.08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15.92</w:t>
      </w:r>
      <w:r>
        <w:rPr>
          <w:rFonts w:hint="eastAsia" w:ascii="TimesNewRoman" w:hAnsi="TimesNewRoman" w:eastAsia="仿宋_GB2312" w:cs="TimesNewRoman"/>
          <w:kern w:val="0"/>
          <w:sz w:val="32"/>
          <w:szCs w:val="32"/>
        </w:rPr>
        <w:t>%，主要用于分局本级和分各国土所项目支出。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609.09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609.09</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95.39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15.67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3.97</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15.92</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315.38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51.78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77.13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12.66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61.51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95.39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18.63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4.73</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315.38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61.58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77.13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15.06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1、社会保障和就业支出（类）行政事业单位养老支出（款）行政单位离退休（项）2024年预算</w:t>
      </w:r>
      <w:r>
        <w:rPr>
          <w:rFonts w:hint="eastAsia" w:ascii="TimesNewRoman" w:hAnsi="TimesNewRoman" w:eastAsia="仿宋_GB2312" w:cs="TimesNewRoman"/>
          <w:kern w:val="0"/>
          <w:sz w:val="32"/>
          <w:szCs w:val="32"/>
          <w:lang w:val="en-US" w:eastAsia="zh-CN"/>
        </w:rPr>
        <w:t>29.5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4.59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18.43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退休人员增加</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43.08</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6.65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13.37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21.54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3.32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13.35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4、社会保障和就业支出（类）其他社会保障和就业支出（款）其他社会保障和就业支出（项）2024年预算1.27万元，比2023年预算减少0.18万元，下降12.41%，原因主要是在职人员减少。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卫生健康支出（类）行政事业单位医疗（款）行政单位医疗（项）</w:t>
      </w:r>
      <w:r>
        <w:rPr>
          <w:rFonts w:hint="eastAsia" w:ascii="TimesNewRoman" w:hAnsi="TimesNewRoman" w:eastAsia="仿宋_GB2312" w:cs="TimesNewRoman"/>
          <w:kern w:val="0"/>
          <w:sz w:val="32"/>
          <w:szCs w:val="32"/>
          <w:lang w:val="en-US" w:eastAsia="zh-CN"/>
        </w:rPr>
        <w:t>2024年预算16.48万元，比2023年预算减少2.54万元，下降13.35%，原因主要是在职人员减少。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卫生健康支出（类）行政事业单位医疗（款）公务员医疗补助（项）</w:t>
      </w:r>
      <w:r>
        <w:rPr>
          <w:rFonts w:hint="eastAsia" w:ascii="TimesNewRoman" w:hAnsi="TimesNewRoman" w:eastAsia="仿宋_GB2312" w:cs="TimesNewRoman"/>
          <w:kern w:val="0"/>
          <w:sz w:val="32"/>
          <w:szCs w:val="32"/>
          <w:lang w:val="en-US" w:eastAsia="zh-CN"/>
        </w:rPr>
        <w:t>2024年预算7.73万元，比2023年预算减少0.62万元，下降7.43%，原因主要是在职人员减少。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自然资源海洋气象等支出（类）自然资源事务（款）行政运行（项）</w:t>
      </w:r>
      <w:r>
        <w:rPr>
          <w:rFonts w:hint="eastAsia" w:ascii="TimesNewRoman" w:hAnsi="TimesNewRoman" w:eastAsia="仿宋_GB2312" w:cs="TimesNewRoman"/>
          <w:kern w:val="0"/>
          <w:sz w:val="32"/>
          <w:szCs w:val="32"/>
          <w:lang w:val="en-US" w:eastAsia="zh-CN"/>
        </w:rPr>
        <w:t>2024年预算58.6万元，比2023年预算减少16.47万元，下降21.94%，原因主要是在职人员减少。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自然资源海洋气象等支出（类）自然资源事务（款）事业运行（项）</w:t>
      </w:r>
      <w:r>
        <w:rPr>
          <w:rFonts w:hint="eastAsia" w:ascii="TimesNewRoman" w:hAnsi="TimesNewRoman" w:eastAsia="仿宋_GB2312" w:cs="TimesNewRoman"/>
          <w:kern w:val="0"/>
          <w:sz w:val="32"/>
          <w:szCs w:val="32"/>
          <w:lang w:val="en-US" w:eastAsia="zh-CN"/>
        </w:rPr>
        <w:t>2024年预算256.78万元，比2023年预算减少50.61万元，下降16.46%，原因主要是在职人员减少。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lang w:val="en-US" w:eastAsia="zh-CN"/>
        </w:rPr>
        <w:t>2024年预算46.28万元，比2023年预算增加1.93万元，增长4.35%，原因主要是公积金缴费基数调整。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val="en-US" w:eastAsia="zh-CN"/>
        </w:rPr>
        <w:t>2024年预算11.57万元，比2023年预算增加11.57万元，原因主要是增加提租补贴发放。</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住房保障支出（类）住房改革支出（款）购房补贴（项）</w:t>
      </w:r>
      <w:r>
        <w:rPr>
          <w:rFonts w:hint="eastAsia" w:ascii="TimesNewRoman" w:hAnsi="TimesNewRoman" w:eastAsia="仿宋_GB2312" w:cs="TimesNewRoman"/>
          <w:kern w:val="0"/>
          <w:sz w:val="32"/>
          <w:szCs w:val="32"/>
          <w:lang w:val="en-US" w:eastAsia="zh-CN"/>
        </w:rPr>
        <w:t>2024年预算19.28万元，比2023年预算增加0.8万元，增长4.33%，原因主要是公积金缴费基数调整。</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475.14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36.96</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475.14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其他商品服务支出、退休费、生活补助、医疗费补助、对其他个人和家庭的补助支出。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lang w:val="en-US" w:eastAsia="zh-CN"/>
        </w:rPr>
        <w:t>36.96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2024年没有安排政府购买服务支出。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财购[2011]27号、皖国土资（2008）231号、淮信组（2010）7号、国土资电发（2010）145号、皖国土资（2006）225号、【1992】价费字597号、《2015年度国有土地收购储备及招拍挂出让计划》、土委会会议纪要、财综字【1995】326号、《安徽省国土资源厅关于开展采煤塌陷区基础数据统计复核的通知》（ 皖国土资函【2018】1987号）、《自然资源部关于开展2018年度全国土地变更调查与遥感监测工作的通知》（自然资发（2018）139号）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759"/>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6"/>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6"/>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859" w:type="dxa"/>
            <w:gridSpan w:val="4"/>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bidi="ar"/>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1"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631" w:type="dxa"/>
            <w:gridSpan w:val="2"/>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val="en-US" w:eastAsia="zh-CN" w:bidi="ar"/>
              </w:rPr>
              <w:t>201</w:t>
            </w:r>
            <w:r>
              <w:rPr>
                <w:rFonts w:hint="eastAsia" w:ascii="宋体" w:hAnsi="宋体" w:cs="宋体"/>
                <w:color w:val="000000"/>
                <w:kern w:val="0"/>
                <w:sz w:val="22"/>
                <w:szCs w:val="22"/>
                <w:lang w:bidi="ar"/>
              </w:rPr>
              <w:t>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hAnsi="宋体" w:cs="宋体"/>
                <w:color w:val="000000"/>
                <w:kern w:val="0"/>
                <w:sz w:val="22"/>
                <w:szCs w:val="22"/>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631"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5"/>
            <w:tcBorders>
              <w:tl2br w:val="nil"/>
              <w:tr2bl w:val="nil"/>
            </w:tcBorders>
            <w:vAlign w:val="center"/>
          </w:tcPr>
          <w:p>
            <w:pPr>
              <w:rPr>
                <w:rFonts w:hint="eastAsia"/>
              </w:rPr>
            </w:pPr>
            <w:r>
              <w:rPr>
                <w:rFonts w:hint="eastAsia"/>
              </w:rPr>
              <w:t>目标1：宣传贯彻执行国土资源管理的法律法规和有关方针政策。</w:t>
            </w:r>
            <w:r>
              <w:rPr>
                <w:rFonts w:hint="eastAsia"/>
              </w:rPr>
              <w:br w:type="textWrapping"/>
            </w:r>
            <w:r>
              <w:rPr>
                <w:rFonts w:hint="eastAsia"/>
              </w:rPr>
              <w:t>目标2：落实土地利用规划、矿产资源规划和动态巡查制度。</w:t>
            </w:r>
            <w:r>
              <w:rPr>
                <w:rFonts w:hint="eastAsia"/>
              </w:rPr>
              <w:br w:type="textWrapping"/>
            </w:r>
            <w:r>
              <w:rPr>
                <w:rFonts w:hint="eastAsia"/>
              </w:rPr>
              <w:t>目标</w:t>
            </w:r>
            <w:r>
              <w:rPr>
                <w:rFonts w:hint="eastAsia"/>
                <w:lang w:val="en-US" w:eastAsia="zh-CN"/>
              </w:rPr>
              <w:t>3：</w:t>
            </w:r>
            <w:r>
              <w:rPr>
                <w:rFonts w:hint="eastAsia"/>
              </w:rPr>
              <w:t>依法监督管理本区域内土地矿产资源和测绘工作。</w:t>
            </w:r>
          </w:p>
          <w:p>
            <w:pPr>
              <w:rPr>
                <w:rFonts w:hint="eastAsia"/>
              </w:rPr>
            </w:pPr>
            <w:r>
              <w:rPr>
                <w:rFonts w:hint="eastAsia"/>
              </w:rPr>
              <w:t>目标</w:t>
            </w:r>
            <w:r>
              <w:rPr>
                <w:rFonts w:hint="eastAsia"/>
                <w:lang w:val="en-US" w:eastAsia="zh-CN"/>
              </w:rPr>
              <w:t>4：</w:t>
            </w:r>
            <w:r>
              <w:rPr>
                <w:rFonts w:hint="eastAsia"/>
              </w:rPr>
              <w:t>严格落实耕地保护政策，积极配合组织实施基本农田保护和未利用土地整理、复垦、开发工作。</w:t>
            </w:r>
          </w:p>
          <w:p>
            <w:pPr>
              <w:rPr>
                <w:rFonts w:hint="eastAsia"/>
              </w:rPr>
            </w:pPr>
            <w:r>
              <w:rPr>
                <w:rFonts w:hint="eastAsia" w:ascii="Times New Roman" w:hAnsi="Times New Roman" w:eastAsia="宋体" w:cs="Times New Roman"/>
                <w:b w:val="0"/>
                <w:bCs w:val="0"/>
                <w:kern w:val="2"/>
                <w:sz w:val="21"/>
                <w:szCs w:val="24"/>
                <w:lang w:val="en-US" w:eastAsia="zh-CN" w:bidi="ar-SA"/>
              </w:rPr>
              <w:t>目标</w:t>
            </w:r>
            <w:r>
              <w:rPr>
                <w:rFonts w:hint="eastAsia" w:cs="Times New Roman"/>
                <w:b w:val="0"/>
                <w:bCs w:val="0"/>
                <w:kern w:val="2"/>
                <w:sz w:val="21"/>
                <w:szCs w:val="24"/>
                <w:lang w:val="en-US" w:eastAsia="zh-CN" w:bidi="ar-SA"/>
              </w:rPr>
              <w:t>5</w:t>
            </w:r>
            <w:r>
              <w:rPr>
                <w:rFonts w:hint="eastAsia" w:ascii="Times New Roman" w:hAnsi="Times New Roman" w:eastAsia="宋体" w:cs="Times New Roman"/>
                <w:b w:val="0"/>
                <w:bCs w:val="0"/>
                <w:kern w:val="2"/>
                <w:sz w:val="21"/>
                <w:szCs w:val="24"/>
                <w:lang w:val="en-US" w:eastAsia="zh-CN" w:bidi="ar-SA"/>
              </w:rPr>
              <w:t>：协助市局做好各类用地的审查报批、建设用地管理、地籍管理、建设项目评估选址、国有土地资本运营、非煤矿山管理工作、测绘工作。</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rPr>
                <w:rFonts w:ascii="宋体" w:cs="宋体"/>
                <w:sz w:val="20"/>
              </w:rPr>
            </w:pPr>
            <w:r>
              <w:rPr>
                <w:rFonts w:hint="eastAsia"/>
                <w:sz w:val="20"/>
                <w:szCs w:val="20"/>
              </w:rPr>
              <w:t>指标1：复垦项目备案工作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rPr>
                <w:rFonts w:ascii="宋体" w:cs="宋体"/>
                <w:sz w:val="20"/>
              </w:rPr>
            </w:pPr>
            <w:r>
              <w:rPr>
                <w:rFonts w:hint="eastAsia"/>
                <w:sz w:val="20"/>
                <w:szCs w:val="20"/>
              </w:rPr>
              <w:t>指标</w:t>
            </w:r>
            <w:r>
              <w:rPr>
                <w:rFonts w:hint="eastAsia"/>
                <w:sz w:val="20"/>
                <w:szCs w:val="20"/>
                <w:lang w:val="en-US" w:eastAsia="zh-CN"/>
              </w:rPr>
              <w:t>2</w:t>
            </w:r>
            <w:r>
              <w:rPr>
                <w:rFonts w:hint="eastAsia"/>
                <w:sz w:val="20"/>
                <w:szCs w:val="20"/>
              </w:rPr>
              <w:t>：国土变更调查工作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both"/>
              <w:rPr>
                <w:rFonts w:ascii="宋体" w:cs="宋体"/>
                <w:sz w:val="20"/>
              </w:rPr>
            </w:pPr>
            <w:r>
              <w:rPr>
                <w:rFonts w:hint="eastAsia"/>
                <w:sz w:val="20"/>
                <w:szCs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rPr>
                <w:rFonts w:ascii="宋体" w:cs="宋体"/>
                <w:sz w:val="20"/>
              </w:rPr>
            </w:pPr>
            <w:r>
              <w:rPr>
                <w:rFonts w:hint="eastAsia"/>
                <w:sz w:val="20"/>
                <w:szCs w:val="20"/>
              </w:rPr>
              <w:t>指标1：项目完成及时性</w:t>
            </w:r>
          </w:p>
        </w:tc>
        <w:tc>
          <w:tcPr>
            <w:tcW w:w="4228" w:type="dxa"/>
            <w:gridSpan w:val="2"/>
            <w:tcBorders>
              <w:tl2br w:val="nil"/>
              <w:tr2bl w:val="nil"/>
            </w:tcBorders>
            <w:vAlign w:val="center"/>
          </w:tcPr>
          <w:p>
            <w:pPr>
              <w:rPr>
                <w:rFonts w:ascii="宋体" w:cs="宋体"/>
                <w:sz w:val="20"/>
              </w:rPr>
            </w:pPr>
            <w:r>
              <w:rPr>
                <w:rFonts w:hint="eastAsia"/>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rPr>
                <w:rFonts w:ascii="宋体" w:cs="宋体"/>
                <w:sz w:val="20"/>
              </w:rPr>
            </w:pPr>
            <w:r>
              <w:rPr>
                <w:rFonts w:hint="eastAsia"/>
                <w:sz w:val="20"/>
                <w:szCs w:val="20"/>
              </w:rPr>
              <w:t>指标1：项目总成本</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指标1：监督管理本区域内土地</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监督管理本区域内土地矿产资源和测绘工作，配合组织实施基本农田保护和未利用土地整理、复垦、开发工作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指标1：增强生态文明建设意识</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指标1：保护生态环境</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指标1：生态环境改善</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vAlign w:val="center"/>
          </w:tcPr>
          <w:p>
            <w:pPr>
              <w:jc w:val="left"/>
              <w:rPr>
                <w:rFonts w:ascii="宋体" w:cs="宋体"/>
                <w:sz w:val="20"/>
              </w:rPr>
            </w:pPr>
            <w:r>
              <w:rPr>
                <w:rFonts w:hint="eastAsia"/>
                <w:sz w:val="20"/>
                <w:szCs w:val="20"/>
              </w:rPr>
              <w:t>≥</w:t>
            </w:r>
            <w:r>
              <w:rPr>
                <w:rFonts w:hint="eastAsia"/>
                <w:sz w:val="20"/>
                <w:szCs w:val="20"/>
                <w:lang w:val="en-US" w:eastAsia="zh-CN"/>
              </w:rPr>
              <w:t>95%</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2、“办公楼运行维修费”项目。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8.99万元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201</w:t>
            </w:r>
            <w:r>
              <w:rPr>
                <w:rFonts w:hint="eastAsia" w:ascii="宋体" w:hAnsi="宋体" w:eastAsia="宋体" w:cs="宋体"/>
                <w:color w:val="000000"/>
                <w:kern w:val="0"/>
                <w:sz w:val="18"/>
                <w:szCs w:val="18"/>
                <w:lang w:bidi="ar"/>
              </w:rPr>
              <w:t>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实施单位</w:t>
            </w:r>
          </w:p>
        </w:tc>
        <w:tc>
          <w:tcPr>
            <w:tcW w:w="2380" w:type="dxa"/>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项目期</w:t>
            </w:r>
          </w:p>
        </w:tc>
        <w:tc>
          <w:tcPr>
            <w:tcW w:w="2380" w:type="dxa"/>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上年结转</w:t>
            </w:r>
          </w:p>
        </w:tc>
        <w:tc>
          <w:tcPr>
            <w:tcW w:w="4228" w:type="dxa"/>
            <w:gridSpan w:val="2"/>
            <w:tcBorders>
              <w:tl2br w:val="nil"/>
              <w:tr2bl w:val="nil"/>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其他资金</w:t>
            </w:r>
          </w:p>
        </w:tc>
        <w:tc>
          <w:tcPr>
            <w:tcW w:w="4228" w:type="dxa"/>
            <w:gridSpan w:val="2"/>
            <w:tcBorders>
              <w:tl2br w:val="nil"/>
              <w:tr2bl w:val="nil"/>
            </w:tcBorders>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年度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目标</w:t>
            </w:r>
          </w:p>
        </w:tc>
        <w:tc>
          <w:tcPr>
            <w:tcW w:w="8582" w:type="dxa"/>
            <w:gridSpan w:val="6"/>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目标1：改善办公环境，确保大楼正常运转。</w:t>
            </w:r>
            <w:r>
              <w:rPr>
                <w:rFonts w:hint="eastAsia" w:ascii="宋体" w:hAnsi="宋体" w:eastAsia="宋体" w:cs="宋体"/>
                <w:sz w:val="18"/>
                <w:szCs w:val="18"/>
              </w:rPr>
              <w:br w:type="textWrapping"/>
            </w:r>
            <w:r>
              <w:rPr>
                <w:rFonts w:hint="eastAsia" w:ascii="宋体" w:hAnsi="宋体" w:eastAsia="宋体" w:cs="宋体"/>
                <w:sz w:val="18"/>
                <w:szCs w:val="18"/>
              </w:rPr>
              <w:t>目标2：提高财政管理科学化、规范化水平。</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lang w:val="en-US" w:eastAsia="zh-CN"/>
              </w:rPr>
              <w:t>3：</w:t>
            </w:r>
            <w:r>
              <w:rPr>
                <w:rFonts w:hint="eastAsia" w:ascii="宋体" w:hAnsi="宋体" w:eastAsia="宋体" w:cs="宋体"/>
                <w:sz w:val="18"/>
                <w:szCs w:val="18"/>
              </w:rPr>
              <w:t>保障财政综合事务及国资监管等工作的顺利推进。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一级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数量指标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指标1：服务人数数量</w:t>
            </w:r>
          </w:p>
        </w:tc>
        <w:tc>
          <w:tcPr>
            <w:tcW w:w="4228" w:type="dxa"/>
            <w:gridSpan w:val="2"/>
            <w:tcBorders>
              <w:tl2br w:val="nil"/>
              <w:tr2bl w:val="nil"/>
            </w:tcBorders>
            <w:noWrap w:val="0"/>
            <w:vAlign w:val="center"/>
          </w:tcPr>
          <w:p>
            <w:pPr>
              <w:rPr>
                <w:rFonts w:hint="eastAsia" w:ascii="宋体" w:hAnsi="宋体" w:eastAsia="宋体" w:cs="宋体"/>
                <w:sz w:val="18"/>
                <w:szCs w:val="18"/>
                <w:lang w:val="en-US"/>
              </w:rPr>
            </w:pPr>
            <w:r>
              <w:rPr>
                <w:rFonts w:hint="eastAsia" w:ascii="宋体" w:hAnsi="宋体" w:eastAsia="宋体" w:cs="宋体"/>
                <w:sz w:val="18"/>
                <w:szCs w:val="18"/>
              </w:rPr>
              <w:t>≥</w:t>
            </w:r>
            <w:r>
              <w:rPr>
                <w:rFonts w:hint="eastAsia" w:ascii="宋体" w:hAnsi="宋体" w:eastAsia="宋体" w:cs="宋体"/>
                <w:sz w:val="18"/>
                <w:szCs w:val="18"/>
                <w:lang w:val="en-US" w:eastAsia="zh-CN"/>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指标1：经费支出合规性</w:t>
            </w:r>
          </w:p>
        </w:tc>
        <w:tc>
          <w:tcPr>
            <w:tcW w:w="4228" w:type="dxa"/>
            <w:gridSpan w:val="2"/>
            <w:tcBorders>
              <w:tl2br w:val="nil"/>
              <w:tr2bl w:val="nil"/>
            </w:tcBorders>
            <w:noWrap w:val="0"/>
            <w:vAlign w:val="center"/>
          </w:tcPr>
          <w:p>
            <w:pPr>
              <w:jc w:val="both"/>
              <w:rPr>
                <w:rFonts w:hint="eastAsia" w:ascii="宋体" w:hAnsi="宋体" w:eastAsia="宋体" w:cs="宋体"/>
                <w:sz w:val="18"/>
                <w:szCs w:val="18"/>
              </w:rPr>
            </w:pPr>
            <w:r>
              <w:rPr>
                <w:rFonts w:hint="eastAsia" w:ascii="宋体" w:hAnsi="宋体" w:eastAsia="宋体" w:cs="宋体"/>
                <w:sz w:val="18"/>
                <w:szCs w:val="18"/>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指标1：办公大楼运转及时性</w:t>
            </w:r>
          </w:p>
        </w:tc>
        <w:tc>
          <w:tcPr>
            <w:tcW w:w="4228" w:type="dxa"/>
            <w:gridSpan w:val="2"/>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大楼楼房管理完善、设备设施保养及时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成本指标</w:t>
            </w:r>
          </w:p>
        </w:tc>
        <w:tc>
          <w:tcPr>
            <w:tcW w:w="2872" w:type="dxa"/>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指标1：项目总成本</w:t>
            </w:r>
          </w:p>
        </w:tc>
        <w:tc>
          <w:tcPr>
            <w:tcW w:w="4228" w:type="dxa"/>
            <w:gridSpan w:val="2"/>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8.99万元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指标1：改善办公环境</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社会效益指标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指标1：对办公环境的改善或提升程度</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指标1：水电能耗节约率</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指标1：对保障机关正常运转的持续影响程度</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保障机关正常运转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指标1：各行业单位满意度</w:t>
            </w:r>
          </w:p>
        </w:tc>
        <w:tc>
          <w:tcPr>
            <w:tcW w:w="4228" w:type="dxa"/>
            <w:gridSpan w:val="2"/>
            <w:tcBorders>
              <w:tl2br w:val="nil"/>
              <w:tr2bl w:val="nil"/>
            </w:tcBorders>
            <w:noWrap w:val="0"/>
            <w:vAlign w:val="center"/>
          </w:tcPr>
          <w:p>
            <w:pPr>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95%</w:t>
            </w:r>
          </w:p>
        </w:tc>
      </w:tr>
    </w:tbl>
    <w:p>
      <w:pPr>
        <w:ind w:firstLine="640" w:firstLineChars="200"/>
        <w:rPr>
          <w:rFonts w:ascii="TimesNewRoman" w:hAnsi="TimesNewRoman" w:eastAsia="仿宋_GB2312" w:cs="TimesNewRoman"/>
          <w:kern w:val="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36.96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7.12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16.15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在职人员减少，退休人员增加</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96.99</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OTdlZjk4ZmVmZTQ4NDNiNTFhYWY1YjQ2Yzk5ZTA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9043C5A"/>
    <w:rsid w:val="09C825B7"/>
    <w:rsid w:val="0C095621"/>
    <w:rsid w:val="13D4659A"/>
    <w:rsid w:val="156E75A6"/>
    <w:rsid w:val="26306192"/>
    <w:rsid w:val="2AC27380"/>
    <w:rsid w:val="387B231B"/>
    <w:rsid w:val="58850B5A"/>
    <w:rsid w:val="5F3C729B"/>
    <w:rsid w:val="5F873E67"/>
    <w:rsid w:val="630F26B0"/>
    <w:rsid w:val="66604660"/>
    <w:rsid w:val="6DBA1E42"/>
    <w:rsid w:val="75367162"/>
    <w:rsid w:val="76046812"/>
    <w:rsid w:val="77A32E15"/>
    <w:rsid w:val="7E22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6848</Words>
  <Characters>7669</Characters>
  <Lines>46</Lines>
  <Paragraphs>13</Paragraphs>
  <TotalTime>2</TotalTime>
  <ScaleCrop>false</ScaleCrop>
  <LinksUpToDate>false</LinksUpToDate>
  <CharactersWithSpaces>7839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2024-12-12T07:04:16Z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AED635C93F804EEFB165544F10C8CD10_12</vt:lpwstr>
  </property>
</Properties>
</file>