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自然资源和规划局本级</w:t>
      </w:r>
      <w:r>
        <w:rPr>
          <w:rFonts w:hint="eastAsia" w:ascii="TimesNewRoman" w:hAnsi="TimesNewRoman" w:eastAsia="华文中宋" w:cs="TimesNewRoman"/>
          <w:b/>
          <w:sz w:val="44"/>
          <w:szCs w:val="44"/>
        </w:rPr>
        <w:t>2024年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p/>
    <w:p/>
    <w:p/>
    <w:p/>
    <w:p/>
    <w:p/>
    <w:p/>
    <w:p/>
    <w:p/>
    <w:p/>
    <w:p/>
    <w:p/>
    <w:p/>
    <w:p/>
    <w:p/>
    <w:p/>
    <w:p/>
    <w:p/>
    <w:p/>
    <w:p/>
    <w:p/>
    <w:p>
      <w:pPr>
        <w:pStyle w:val="5"/>
        <w:adjustRightInd w:val="0"/>
        <w:snapToGrid w:val="0"/>
        <w:spacing w:line="560" w:lineRule="exact"/>
        <w:jc w:val="center"/>
        <w:rPr>
          <w:rFonts w:ascii="TimesNewRoman" w:hAnsi="TimesNewRoman" w:eastAsia="黑体" w:cs="TimesNewRoman"/>
          <w:bCs/>
          <w:sz w:val="44"/>
          <w:szCs w:val="44"/>
        </w:rPr>
      </w:pPr>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3</w:t>
      </w:r>
      <w:bookmarkStart w:id="0" w:name="_GoBack"/>
      <w:bookmarkEnd w:id="0"/>
      <w:r>
        <w:rPr>
          <w:rFonts w:hint="eastAsia" w:ascii="TimesNewRoman" w:hAnsi="TimesNewRoman" w:eastAsia="黑体" w:cs="TimesNewRoman"/>
          <w:bCs/>
          <w:sz w:val="44"/>
          <w:szCs w:val="44"/>
        </w:rPr>
        <w:t>月</w:t>
      </w:r>
    </w:p>
    <w:p/>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2024年收入总表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2024年支出总表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2024年财政拨款收支总表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2024年一般公共预算支出表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2024年一般公共预算基本支出表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2024年政府性基金预算支出表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2024年国有资本经营预算支出表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2024年项目支出表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2024年政府采购支出表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2024年政府购买服务支出表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自然资源和规划局本级</w:t>
      </w:r>
      <w:r>
        <w:rPr>
          <w:rFonts w:ascii="TimesNewRoman" w:hAnsi="TimesNewRoman" w:eastAsia="仿宋_GB2312" w:cs="TimesNewRoman"/>
          <w:bCs/>
          <w:sz w:val="32"/>
          <w:szCs w:val="32"/>
        </w:rPr>
        <w:t>2024年通用资产配置支出表</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预算纳入绩效考评项目表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bCs/>
          <w:sz w:val="32"/>
          <w:szCs w:val="32"/>
        </w:rPr>
        <w:t>2024年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预算专项资金管理清单（专栏公开）</w:t>
      </w:r>
    </w:p>
    <w:p>
      <w:pPr>
        <w:pStyle w:val="5"/>
        <w:adjustRightInd w:val="0"/>
        <w:snapToGrid w:val="0"/>
        <w:spacing w:line="400" w:lineRule="exact"/>
        <w:ind w:firstLine="800" w:firstLineChars="250"/>
        <w:rPr>
          <w:rFonts w:ascii="TimesNewRoman" w:hAnsi="TimesNewRoman" w:eastAsia="仿宋_GB2312" w:cs="TimesNewRoman"/>
          <w:bCs/>
          <w:sz w:val="32"/>
          <w:szCs w:val="32"/>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spacing w:line="560" w:lineRule="exact"/>
        <w:ind w:firstLine="640" w:firstLineChars="200"/>
        <w:rPr>
          <w:rFonts w:hint="eastAsia" w:ascii="仿宋_GB2312" w:hAnsi="仿宋" w:eastAsia="仿宋_GB2312" w:cs="宋体"/>
          <w:kern w:val="0"/>
          <w:sz w:val="32"/>
          <w:szCs w:val="32"/>
        </w:rPr>
      </w:pPr>
      <w:r>
        <w:rPr>
          <w:rFonts w:ascii="仿宋_GB2312" w:hAnsi="仿宋" w:eastAsia="仿宋_GB2312" w:cs="宋体"/>
          <w:kern w:val="0"/>
          <w:sz w:val="32"/>
          <w:szCs w:val="32"/>
        </w:rPr>
        <w:t>根据《中共安徽省委办公厅、安徽省人民政府办公厅关于〈淮北市机构改革方案〉的通知》（厅〔2019〕2号）和《中共淮北市委、淮北市人民政府关于市级机构改革的实施意见》（淮发〔2019〕2号），制定本规定</w:t>
      </w:r>
      <w:r>
        <w:rPr>
          <w:rFonts w:hint="eastAsia" w:ascii="仿宋_GB2312" w:hAnsi="仿宋" w:eastAsia="仿宋_GB2312" w:cs="宋体"/>
          <w:kern w:val="0"/>
          <w:sz w:val="32"/>
          <w:szCs w:val="32"/>
        </w:rPr>
        <w:t>，淮北市自然资源和规划局主要职责是：</w:t>
      </w:r>
    </w:p>
    <w:p>
      <w:pPr>
        <w:spacing w:line="560" w:lineRule="exact"/>
        <w:ind w:firstLine="480" w:firstLineChars="15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按规定权限履行全民所有土地、矿产、森林、草原、湿地、水等自然资源资产所有者职责和所有国土空间用途管制职责。贯彻执行国家自然资源和国土空间规划及测绘等法律法规规章，参与起草相关地方性法规规章草案，制定政策措施和地方性标准规范并监督检查执行情况。</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负责自然资源调查监测评价。贯彻执行自然资源调查监测评价的指标体系和统计标准，严格执行自然资源调查监测评价制度。实施自然资源基础调查、专项调查和监测。负责自然资源调查监测评价成果的监督管理和信息发布。组织实施全市自然资源调查监测评价工作。</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负责自然资源统一确权登记工作。严格执行各类自然资源和不动产统一确权登记、权籍调查、不动产测绘、争议调处、成果应用相关制度、标准、规范。建立健全全市自然资源和不动产登记信息管理基础平台。负责自然资源和不动产登记资料收集、整理、共享、汇交管理等。指导监督全市自然资源和不动产确权登记工作。</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（四）负责测绘地理信息管理工作。负责基础测绘和测绘行业管理。负责测绘资质资格与信用管理，监督管理国家地理信息安全和市场秩序。负责地理信息公共服务管理。负责测量标志保护。</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推动自然资源领域科技发展。组织实施全市自然资源领域科技创新发展和人才培养战略、规划和计划。组织监督实施技术标准、规程规范。组织实施重大科技工程及创新能力建设，推进自然资源信息化和信息资料的公共服务。组织开展自然资源领域对外交流合作。</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负责自然资源资产有偿使用工作。组织实施全民所有自然资源资产统计制度，负责全民所有自然资源资产核算。编制全民所有自然资源资产负债表，落实考核标准。贯彻执行全民所有自然资源资产划拨、出让、租赁、作价出资和土地储备政策，合理配置全民所有自然资源资产。负责自然资源资产价值评估管理，依法收缴相关资产收益。</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七）负责自然资源的合理开发利用。组织落实全市自然资源发展规划和战略，组织实施自然资源开发利用标准，建立政府公示自然资源价格体系，组织开展自然资源分等定级价格评估，开展自然资源利用评价考核，组织开展节约集约利用。负责自然资源市场监管。组织研究自然资源管理涉及经济调节、区域协调和城乡统筹的政策措施。</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八）负责建立空间规划体系并监督实施。贯彻落实主体功能区战略和制度，组织编制、指导并监督实施国土空间规划、控制性详细规划以及相关规划。会同有关部门编制其他专项规划。组织开展城市设计工作，指导镇、村庄规划的编制工作。开展国土空间开发适宜性评价，建立国土空间规划实施监测、评估和预警体系。组织划定生态保护红线、永久基本农田、城镇开发边界等控制线，构建节约集约资源和保护环境的生产、生活、生态空间布局。组织实施国土空间用途管制制度，研究拟订城乡规划政策并监督实施。组织拟订并实施土地等自然资源年度利用计划。负责土地等国土空间用途转用工作。负责土地征收征用管理。</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九）负责城乡规划管理工作。负责各类建设项目的规划管理，组织审定建设项目修建性详细规划（含建设工程设计）方案，核发《建设项目选址意见书》《建设用地规划许可证》《建设工程规划许可证》《乡村建设规划许可证》《建设工程规划核实合格证》并监督管理。</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（十）组织编制历史文化名城、名镇、名村工作。承担历史文化街区、历史建筑的普查、报批工作。</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一）负责统筹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二）负责落实综合防灾减灾规划相关要求，组织编制地质灾害防治规划,指导实施地质灾害防治规划和防护标准。组织指导协调和监督地质灾害调查评价及隐患的普查、详查、排查。指导开展群测群防、专业监测和预报预警等工作，指导开展地质灾害工程治理工作。承担地质灾害应急救援的技术支撑工作。</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三）负责组织实施最严格的耕地保护制度。牵头拟订并实施耕地保护政策，负责耕地数量、质量、生态保护。组织实施耕地保护责任目标考核和永久基本农田特殊保护。组织实施耕地占补平衡制度，监督占用耕地补偿制度执行情况。</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四）负责管理地质勘查行业和全市地质工作。监督检查执行地质勘查规划情况。管理市级地质勘查项目。组织实施市级重大地质矿产勘查专项。负责地质灾害预防和治理，监督管理地下水过量开采及引发的地面沉降等地质问题。负责古生物化石的监督管理。</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（十五）负责矿产资源管理工作。负责矿产资源储量管理及压覆矿产资源审批。负责矿业权管理。会同有关部门承担保护性开采的特定矿种、优势矿产的调控及相关管理工作。监督指导矿产资源合理利用和保护。</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（十六）查处自然资源开发利用和国土空间规划及测绘重大违法案件。指导濉溪县有关行政执法工作。</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（十七）统一领导和管理市林业局。</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（十八）完成市委、市政府交办的其他任务。</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九）职能转变。市自然资源和规划局要落实中央关于统一行使全民所有自然资源资产所有者职责，统一行使所有国土空间用途管制和生态保护修复职责的要求，强化制度设计，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十）关于建材、墙材企业（砖瓦窑厂）污染防治职责分工。市生态环境局依法履行生态环境保护综合监管职能，协调处理建材、墙材企业（砖瓦窑厂）污染纠纷，协调建立多部门联动机制，加大建材、墙材企业（砖瓦窑厂）污染防治整治力度，组织开展生态环境保护执法检查，负责环境影响评价和审批。市经济和信息化局负责指导推进建材、墙材企业（砖瓦窑厂）清洁生产，大力发展环保产业，监督指导建材、墙材企业（砖瓦窑厂）污染防治工作，督促建材、墙材企业（砖瓦窑厂）开展污染源治理。市住房和城乡建设局负责会同有关部门制定建筑节能政策、规划并监督实施，负责墙体材料革新和建筑材料节能管理，指导按权限做好新型墙体材料产品确认工作。市自然资源和规划局负责指导依法查处建材、墙材企业（砖瓦窑厂）非法取土和违规用地行为，清理整顿粘土砖瓦生产企业。各县区人民政府按照“属地管理、分级负责，谁主管、谁负责”的原则，督促相关部门对建材、墙材企业（砖瓦窑厂）生产经营行为进行日常核查与监管，做好污染防治工作。</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sz w:val="32"/>
          <w:szCs w:val="32"/>
        </w:rPr>
        <w:t>2024年度</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预算仅包括局本级预算，无其他下属单位预算。</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val="zh-TW" w:eastAsia="zh-CN"/>
        </w:rPr>
      </w:pPr>
      <w:r>
        <w:rPr>
          <w:rFonts w:hint="default" w:ascii="FreeSerif" w:hAnsi="FreeSerif" w:eastAsia="CESI黑体-GB2312" w:cs="FreeSerif"/>
          <w:sz w:val="32"/>
          <w:szCs w:val="32"/>
          <w:lang w:val="zh-TW" w:eastAsia="zh-CN"/>
        </w:rPr>
        <w:t>一、深化党的建设，持续推进全面从严治党</w:t>
      </w:r>
    </w:p>
    <w:p>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lang w:eastAsia="zh-CN"/>
        </w:rPr>
      </w:pPr>
      <w:r>
        <w:rPr>
          <w:rFonts w:hint="default" w:ascii="仿宋_GB2312" w:hAnsi="仿宋" w:eastAsia="仿宋_GB2312" w:cs="宋体"/>
          <w:b/>
          <w:bCs/>
          <w:kern w:val="0"/>
          <w:sz w:val="32"/>
          <w:szCs w:val="32"/>
        </w:rPr>
        <w:t>（一）</w:t>
      </w:r>
      <w:r>
        <w:rPr>
          <w:rFonts w:hint="default" w:ascii="仿宋_GB2312" w:hAnsi="仿宋" w:eastAsia="仿宋_GB2312" w:cs="宋体"/>
          <w:b/>
          <w:bCs/>
          <w:kern w:val="0"/>
          <w:sz w:val="32"/>
          <w:szCs w:val="32"/>
          <w:lang w:eastAsia="zh-CN"/>
        </w:rPr>
        <w:t>始终</w:t>
      </w:r>
      <w:r>
        <w:rPr>
          <w:rFonts w:hint="default" w:ascii="仿宋_GB2312" w:hAnsi="仿宋" w:eastAsia="仿宋_GB2312" w:cs="宋体"/>
          <w:b/>
          <w:bCs/>
          <w:kern w:val="0"/>
          <w:sz w:val="32"/>
          <w:szCs w:val="32"/>
        </w:rPr>
        <w:t>铸牢政治忠诚</w:t>
      </w:r>
      <w:r>
        <w:rPr>
          <w:rFonts w:hint="default" w:ascii="仿宋_GB2312" w:hAnsi="仿宋" w:eastAsia="仿宋_GB2312" w:cs="宋体"/>
          <w:kern w:val="0"/>
          <w:sz w:val="32"/>
          <w:szCs w:val="32"/>
          <w:lang w:eastAsia="zh-CN"/>
        </w:rPr>
        <w:t>坚定不移把政治建设摆在首位，持续深化主题教育成果，始终坚持以习近平新时代中国特色社会主义思想武装头脑、指导实践、推动工作。把夯实“党的建设”这个基础作为推进工作的关键环节，</w:t>
      </w:r>
      <w:r>
        <w:rPr>
          <w:rFonts w:hint="default" w:ascii="仿宋_GB2312" w:hAnsi="仿宋" w:eastAsia="仿宋_GB2312" w:cs="宋体"/>
          <w:kern w:val="0"/>
          <w:sz w:val="32"/>
          <w:szCs w:val="32"/>
          <w:lang w:val="zh-TW" w:eastAsia="zh-CN"/>
        </w:rPr>
        <w:t>发挥党建品牌载体作用，巩固提升党建“堡垒”，推动基层党组织全面进步、全面过硬。</w:t>
      </w:r>
      <w:r>
        <w:rPr>
          <w:rFonts w:hint="default" w:ascii="仿宋_GB2312" w:hAnsi="仿宋" w:eastAsia="仿宋_GB2312" w:cs="宋体"/>
          <w:kern w:val="0"/>
          <w:sz w:val="32"/>
          <w:szCs w:val="32"/>
          <w:lang w:eastAsia="zh-CN"/>
        </w:rPr>
        <w:t>建立健全意识形态工作研判机制，牢牢掌握意识形态工作主动权。</w:t>
      </w:r>
    </w:p>
    <w:p>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rPr>
      </w:pPr>
      <w:r>
        <w:rPr>
          <w:rFonts w:hint="default" w:ascii="仿宋_GB2312" w:hAnsi="仿宋" w:eastAsia="仿宋_GB2312" w:cs="宋体"/>
          <w:b/>
          <w:bCs/>
          <w:kern w:val="0"/>
          <w:sz w:val="32"/>
          <w:szCs w:val="32"/>
        </w:rPr>
        <w:t>（二）全面加强干部队伍建设</w:t>
      </w:r>
      <w:r>
        <w:rPr>
          <w:rFonts w:hint="default" w:ascii="仿宋_GB2312" w:hAnsi="仿宋" w:eastAsia="仿宋_GB2312" w:cs="宋体"/>
          <w:kern w:val="0"/>
          <w:sz w:val="32"/>
          <w:szCs w:val="32"/>
        </w:rPr>
        <w:t>持续深入开展干部职工教育培训，</w:t>
      </w:r>
      <w:r>
        <w:rPr>
          <w:rFonts w:hint="default" w:ascii="仿宋_GB2312" w:hAnsi="仿宋" w:eastAsia="仿宋_GB2312" w:cs="宋体"/>
          <w:kern w:val="0"/>
          <w:sz w:val="32"/>
          <w:szCs w:val="32"/>
          <w:lang w:val="zh-TW" w:eastAsia="zh-TW"/>
        </w:rPr>
        <w:t>定期举办自然资源</w:t>
      </w:r>
      <w:r>
        <w:rPr>
          <w:rFonts w:hint="default" w:ascii="仿宋_GB2312" w:hAnsi="仿宋" w:eastAsia="仿宋_GB2312" w:cs="宋体"/>
          <w:kern w:val="0"/>
          <w:sz w:val="32"/>
          <w:szCs w:val="32"/>
          <w:lang w:val="zh-TW"/>
        </w:rPr>
        <w:t>和</w:t>
      </w:r>
      <w:r>
        <w:rPr>
          <w:rFonts w:hint="default" w:ascii="仿宋_GB2312" w:hAnsi="仿宋" w:eastAsia="仿宋_GB2312" w:cs="宋体"/>
          <w:kern w:val="0"/>
          <w:sz w:val="32"/>
          <w:szCs w:val="32"/>
          <w:lang w:val="zh-TW" w:eastAsia="zh-TW"/>
        </w:rPr>
        <w:t>规划大讲堂，</w:t>
      </w:r>
      <w:r>
        <w:rPr>
          <w:rFonts w:hint="default" w:ascii="仿宋_GB2312" w:hAnsi="仿宋" w:eastAsia="仿宋_GB2312" w:cs="宋体"/>
          <w:kern w:val="0"/>
          <w:sz w:val="32"/>
          <w:szCs w:val="32"/>
        </w:rPr>
        <w:t>及时解读最新政策，进一步增强干部职工推动高质量发展本领、服务群众本领、防范化解风险本领。</w:t>
      </w:r>
      <w:r>
        <w:rPr>
          <w:rFonts w:hint="default" w:ascii="仿宋_GB2312" w:hAnsi="仿宋" w:eastAsia="仿宋_GB2312" w:cs="宋体"/>
          <w:kern w:val="0"/>
          <w:sz w:val="32"/>
          <w:szCs w:val="32"/>
          <w:lang w:val="zh-TW"/>
        </w:rPr>
        <w:t>完善干部轮岗、梯次晋升提拔机制，进一步激发自然资源和规划事业的发展活力。</w:t>
      </w:r>
      <w:r>
        <w:rPr>
          <w:rFonts w:hint="default" w:ascii="仿宋_GB2312" w:hAnsi="仿宋" w:eastAsia="仿宋_GB2312" w:cs="宋体"/>
          <w:kern w:val="0"/>
          <w:sz w:val="32"/>
          <w:szCs w:val="32"/>
        </w:rPr>
        <w:t>做好离退休干部管理工作，进一步提高老干部的幸福感、获得感。</w:t>
      </w:r>
    </w:p>
    <w:p>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lang w:val="zh-TW" w:eastAsia="zh-CN"/>
        </w:rPr>
      </w:pPr>
      <w:r>
        <w:rPr>
          <w:rFonts w:hint="default" w:ascii="仿宋_GB2312" w:hAnsi="仿宋" w:eastAsia="仿宋_GB2312" w:cs="宋体"/>
          <w:b/>
          <w:bCs/>
          <w:kern w:val="0"/>
          <w:sz w:val="32"/>
          <w:szCs w:val="32"/>
        </w:rPr>
        <w:t>（</w:t>
      </w:r>
      <w:r>
        <w:rPr>
          <w:rFonts w:hint="default" w:ascii="仿宋_GB2312" w:hAnsi="仿宋" w:eastAsia="仿宋_GB2312" w:cs="宋体"/>
          <w:b/>
          <w:bCs/>
          <w:kern w:val="0"/>
          <w:sz w:val="32"/>
          <w:szCs w:val="32"/>
          <w:lang w:eastAsia="zh-CN"/>
        </w:rPr>
        <w:t>三</w:t>
      </w:r>
      <w:r>
        <w:rPr>
          <w:rFonts w:hint="default" w:ascii="仿宋_GB2312" w:hAnsi="仿宋" w:eastAsia="仿宋_GB2312" w:cs="宋体"/>
          <w:b/>
          <w:bCs/>
          <w:kern w:val="0"/>
          <w:sz w:val="32"/>
          <w:szCs w:val="32"/>
        </w:rPr>
        <w:t>）</w:t>
      </w:r>
      <w:r>
        <w:rPr>
          <w:rFonts w:hint="default" w:ascii="仿宋_GB2312" w:hAnsi="仿宋" w:eastAsia="仿宋_GB2312" w:cs="宋体"/>
          <w:b/>
          <w:bCs/>
          <w:kern w:val="0"/>
          <w:sz w:val="32"/>
          <w:szCs w:val="32"/>
          <w:lang w:eastAsia="zh-CN"/>
        </w:rPr>
        <w:t>扎实推进</w:t>
      </w:r>
      <w:r>
        <w:rPr>
          <w:rFonts w:hint="default" w:ascii="仿宋_GB2312" w:hAnsi="仿宋" w:eastAsia="仿宋_GB2312" w:cs="宋体"/>
          <w:b/>
          <w:bCs/>
          <w:kern w:val="0"/>
          <w:sz w:val="32"/>
          <w:szCs w:val="32"/>
        </w:rPr>
        <w:t>全面</w:t>
      </w:r>
      <w:r>
        <w:rPr>
          <w:rFonts w:hint="default" w:ascii="仿宋_GB2312" w:hAnsi="仿宋" w:eastAsia="仿宋_GB2312" w:cs="宋体"/>
          <w:b/>
          <w:bCs/>
          <w:kern w:val="0"/>
          <w:sz w:val="32"/>
          <w:szCs w:val="32"/>
          <w:lang w:eastAsia="zh-CN"/>
        </w:rPr>
        <w:t>从严治党</w:t>
      </w:r>
      <w:r>
        <w:rPr>
          <w:rFonts w:hint="default" w:ascii="仿宋_GB2312" w:hAnsi="仿宋" w:eastAsia="仿宋_GB2312" w:cs="宋体"/>
          <w:kern w:val="0"/>
          <w:sz w:val="32"/>
          <w:szCs w:val="32"/>
          <w:lang w:val="en-US" w:eastAsia="zh-CN"/>
        </w:rPr>
        <w:t>切实加强全市自然资源系统党风廉政建设，严格落实中央八项规定及其实施细则精神。紧盯重点领域，强化征地拆迁等监督管理，织密扎牢权力制度笼子</w:t>
      </w:r>
      <w:r>
        <w:rPr>
          <w:rFonts w:hint="default" w:ascii="仿宋_GB2312" w:hAnsi="仿宋" w:eastAsia="仿宋_GB2312" w:cs="宋体"/>
          <w:kern w:val="0"/>
          <w:sz w:val="32"/>
          <w:szCs w:val="32"/>
          <w:lang w:val="zh-TW" w:eastAsia="zh-CN"/>
        </w:rPr>
        <w:t>。积极配合纪检监察部门执纪问责，发挥好机关纪委作用，推进全面从严治党向基层延伸</w:t>
      </w:r>
      <w:r>
        <w:rPr>
          <w:rFonts w:hint="eastAsia" w:ascii="仿宋_GB2312" w:hAnsi="仿宋" w:eastAsia="仿宋_GB2312" w:cs="宋体"/>
          <w:kern w:val="0"/>
          <w:sz w:val="32"/>
          <w:szCs w:val="32"/>
          <w:lang w:val="zh-TW" w:eastAsia="zh-CN"/>
        </w:rPr>
        <w:t>。</w:t>
      </w:r>
      <w:r>
        <w:rPr>
          <w:rFonts w:hint="default" w:ascii="仿宋_GB2312" w:hAnsi="仿宋" w:eastAsia="仿宋_GB2312" w:cs="宋体"/>
          <w:kern w:val="0"/>
          <w:sz w:val="32"/>
          <w:szCs w:val="32"/>
          <w:lang w:val="zh-TW" w:eastAsia="zh-CN"/>
        </w:rPr>
        <w:t>综合运用年度考核、政治监督谈话、党风廉政检查、巡察审计整改等手段，持续净化优化全系统政治生态。</w:t>
      </w:r>
    </w:p>
    <w:p>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val="zh-TW" w:eastAsia="zh-CN"/>
        </w:rPr>
      </w:pPr>
      <w:r>
        <w:rPr>
          <w:rFonts w:hint="default" w:ascii="FreeSerif" w:hAnsi="FreeSerif" w:eastAsia="CESI黑体-GB2312" w:cs="FreeSerif"/>
          <w:sz w:val="32"/>
          <w:szCs w:val="32"/>
          <w:lang w:val="zh-TW" w:eastAsia="zh-CN"/>
        </w:rPr>
        <w:t>二、积极做好要素保障工作，以更强干劲保障发展大局</w:t>
      </w:r>
    </w:p>
    <w:p>
      <w:pPr>
        <w:pageBreakBefore w:val="0"/>
        <w:kinsoku/>
        <w:wordWrap/>
        <w:autoSpaceDE/>
        <w:autoSpaceDN/>
        <w:bidi w:val="0"/>
        <w:snapToGrid w:val="0"/>
        <w:spacing w:line="560" w:lineRule="exact"/>
        <w:ind w:left="0" w:leftChars="0" w:right="0" w:rightChars="0" w:firstLine="643" w:firstLineChars="200"/>
        <w:rPr>
          <w:rFonts w:hint="default" w:ascii="仿宋_GB2312" w:hAnsi="仿宋" w:eastAsia="仿宋_GB2312" w:cs="宋体"/>
          <w:kern w:val="0"/>
          <w:sz w:val="32"/>
          <w:szCs w:val="32"/>
          <w:lang w:val="en-US" w:eastAsia="zh-CN"/>
        </w:rPr>
      </w:pPr>
      <w:r>
        <w:rPr>
          <w:rFonts w:hint="default" w:ascii="仿宋_GB2312" w:hAnsi="仿宋" w:eastAsia="仿宋_GB2312" w:cs="宋体"/>
          <w:b/>
          <w:bCs/>
          <w:kern w:val="0"/>
          <w:sz w:val="32"/>
          <w:szCs w:val="32"/>
        </w:rPr>
        <w:t>（</w:t>
      </w:r>
      <w:r>
        <w:rPr>
          <w:rFonts w:hint="default" w:ascii="仿宋_GB2312" w:hAnsi="仿宋" w:eastAsia="仿宋_GB2312" w:cs="宋体"/>
          <w:b/>
          <w:bCs/>
          <w:kern w:val="0"/>
          <w:sz w:val="32"/>
          <w:szCs w:val="32"/>
          <w:lang w:eastAsia="zh-CN"/>
        </w:rPr>
        <w:t>四</w:t>
      </w:r>
      <w:r>
        <w:rPr>
          <w:rFonts w:hint="default" w:ascii="仿宋_GB2312" w:hAnsi="仿宋" w:eastAsia="仿宋_GB2312" w:cs="宋体"/>
          <w:b/>
          <w:bCs/>
          <w:kern w:val="0"/>
          <w:sz w:val="32"/>
          <w:szCs w:val="32"/>
        </w:rPr>
        <w:t>）持续发挥要素保障专班作用</w:t>
      </w:r>
      <w:r>
        <w:rPr>
          <w:rFonts w:hint="default" w:ascii="仿宋_GB2312" w:hAnsi="仿宋" w:eastAsia="仿宋_GB2312" w:cs="宋体"/>
          <w:kern w:val="0"/>
          <w:sz w:val="32"/>
          <w:szCs w:val="32"/>
          <w:lang w:val="en-US" w:eastAsia="zh-CN"/>
        </w:rPr>
        <w:t>常态化开展会商交流，全力保障重大项目用地。加大增减挂钩项目实施力度，有效增加建设用地供给。</w:t>
      </w:r>
      <w:r>
        <w:rPr>
          <w:rFonts w:hint="eastAsia" w:ascii="仿宋_GB2312" w:hAnsi="仿宋" w:eastAsia="仿宋_GB2312" w:cs="宋体"/>
          <w:kern w:val="0"/>
          <w:sz w:val="32"/>
          <w:szCs w:val="32"/>
          <w:lang w:val="en-US" w:eastAsia="zh-CN"/>
        </w:rPr>
        <w:t>根据用地需求统筹安排用地计划，对接发改部门</w:t>
      </w:r>
      <w:r>
        <w:rPr>
          <w:rFonts w:hint="default" w:ascii="仿宋_GB2312" w:hAnsi="仿宋" w:eastAsia="仿宋_GB2312" w:cs="宋体"/>
          <w:kern w:val="0"/>
          <w:sz w:val="32"/>
          <w:szCs w:val="32"/>
          <w:lang w:val="en-US" w:eastAsia="zh-CN"/>
        </w:rPr>
        <w:t>争取更多项目纳入重大项目清单。</w:t>
      </w:r>
    </w:p>
    <w:p>
      <w:pPr>
        <w:pageBreakBefore w:val="0"/>
        <w:kinsoku/>
        <w:wordWrap/>
        <w:autoSpaceDE/>
        <w:autoSpaceDN/>
        <w:bidi w:val="0"/>
        <w:spacing w:line="560" w:lineRule="exact"/>
        <w:ind w:left="0" w:leftChars="0" w:right="0" w:rightChars="0" w:firstLine="643" w:firstLineChars="200"/>
        <w:rPr>
          <w:rFonts w:hint="default" w:ascii="FreeSerif" w:hAnsi="FreeSerif" w:eastAsia="方正仿宋_GBK" w:cs="FreeSerif"/>
          <w:kern w:val="0"/>
          <w:sz w:val="31"/>
          <w:szCs w:val="31"/>
          <w:shd w:val="clear" w:color="auto" w:fill="FFFFFF"/>
        </w:rPr>
      </w:pPr>
      <w:r>
        <w:rPr>
          <w:rFonts w:hint="default" w:ascii="仿宋_GB2312" w:hAnsi="仿宋" w:eastAsia="仿宋_GB2312" w:cs="宋体"/>
          <w:b/>
          <w:bCs/>
          <w:kern w:val="0"/>
          <w:sz w:val="32"/>
          <w:szCs w:val="32"/>
        </w:rPr>
        <w:t>（五）用好自然资源支持政策</w:t>
      </w:r>
      <w:r>
        <w:rPr>
          <w:rFonts w:hint="default" w:ascii="仿宋_GB2312" w:hAnsi="仿宋" w:eastAsia="仿宋_GB2312" w:cs="宋体"/>
          <w:kern w:val="0"/>
          <w:sz w:val="32"/>
          <w:szCs w:val="32"/>
          <w:lang w:val="en-US" w:eastAsia="zh-CN"/>
        </w:rPr>
        <w:t>用好《乡村振兴用地政策指南（2023年）》，落实点状供地政策，切实保障肉牛产业发展用地，助推乡村建设和农村一二三产业融合发展。制定《淮北市征收农村村民住宅补偿安置办法》，切实保障农民权益。</w:t>
      </w:r>
    </w:p>
    <w:p>
      <w:pPr>
        <w:pageBreakBefore w:val="0"/>
        <w:widowControl/>
        <w:shd w:val="clear" w:color="auto" w:fill="FFFFFF"/>
        <w:kinsoku/>
        <w:wordWrap/>
        <w:autoSpaceDE/>
        <w:autoSpaceDN/>
        <w:bidi w:val="0"/>
        <w:spacing w:line="560" w:lineRule="exact"/>
        <w:ind w:left="0" w:leftChars="0" w:right="0" w:rightChars="0" w:firstLine="643" w:firstLineChars="200"/>
        <w:jc w:val="left"/>
        <w:rPr>
          <w:rFonts w:hint="default" w:ascii="仿宋_GB2312" w:hAnsi="仿宋" w:eastAsia="仿宋_GB2312" w:cs="宋体"/>
          <w:kern w:val="0"/>
          <w:sz w:val="32"/>
          <w:szCs w:val="32"/>
          <w:lang w:val="en-US" w:eastAsia="zh-CN"/>
        </w:rPr>
      </w:pPr>
      <w:r>
        <w:rPr>
          <w:rFonts w:hint="default" w:ascii="仿宋_GB2312" w:hAnsi="仿宋" w:eastAsia="仿宋_GB2312" w:cs="宋体"/>
          <w:b/>
          <w:bCs/>
          <w:kern w:val="0"/>
          <w:sz w:val="32"/>
          <w:szCs w:val="32"/>
        </w:rPr>
        <w:t>（六）强化土地供应和管理</w:t>
      </w:r>
      <w:r>
        <w:rPr>
          <w:rFonts w:hint="default" w:ascii="仿宋_GB2312" w:hAnsi="仿宋" w:eastAsia="仿宋_GB2312" w:cs="宋体"/>
          <w:kern w:val="0"/>
          <w:sz w:val="32"/>
          <w:szCs w:val="32"/>
          <w:lang w:val="en-US" w:eastAsia="zh-CN"/>
        </w:rPr>
        <w:t>科学制定年度土地收储和出让计划，严格实行“净地”储备审查，建立“让前必储”的工作机制。深入分析市场需求，精准开展优质地块招商推介工作。编制年度国有建设用地供应计划，有序推进项目用地协议出让和划拨供应工作。进一步优化规范国有建设用地分割转让程序。</w:t>
      </w:r>
      <w:r>
        <w:rPr>
          <w:rFonts w:hint="default" w:ascii="仿宋_GB2312" w:hAnsi="仿宋" w:eastAsia="仿宋_GB2312" w:cs="宋体"/>
          <w:kern w:val="0"/>
          <w:sz w:val="32"/>
          <w:szCs w:val="32"/>
          <w:lang w:val="zh-TW" w:eastAsia="zh-CN"/>
        </w:rPr>
        <w:t>完善</w:t>
      </w:r>
      <w:r>
        <w:rPr>
          <w:rFonts w:hint="default" w:ascii="仿宋_GB2312" w:hAnsi="仿宋" w:eastAsia="仿宋_GB2312" w:cs="宋体"/>
          <w:kern w:val="0"/>
          <w:sz w:val="32"/>
          <w:szCs w:val="32"/>
          <w:lang w:val="en" w:eastAsia="zh-CN"/>
        </w:rPr>
        <w:t>临时用地</w:t>
      </w:r>
      <w:r>
        <w:rPr>
          <w:rFonts w:hint="default" w:ascii="仿宋_GB2312" w:hAnsi="仿宋" w:eastAsia="仿宋_GB2312" w:cs="宋体"/>
          <w:kern w:val="0"/>
          <w:sz w:val="32"/>
          <w:szCs w:val="32"/>
          <w:lang w:val="zh-TW" w:eastAsia="zh-CN"/>
        </w:rPr>
        <w:t>监管机制，督促县区政府</w:t>
      </w:r>
      <w:r>
        <w:rPr>
          <w:rFonts w:hint="default" w:ascii="仿宋_GB2312" w:hAnsi="仿宋" w:eastAsia="仿宋_GB2312" w:cs="宋体"/>
          <w:kern w:val="0"/>
          <w:sz w:val="32"/>
          <w:szCs w:val="32"/>
          <w:lang w:val="en-US" w:eastAsia="zh-CN"/>
        </w:rPr>
        <w:t>及时做好到期临时用地土地复垦工作。</w:t>
      </w:r>
    </w:p>
    <w:p>
      <w:pPr>
        <w:pStyle w:val="5"/>
        <w:pageBreakBefore w:val="0"/>
        <w:widowControl/>
        <w:shd w:val="clear" w:color="auto" w:fill="FFFFFF"/>
        <w:kinsoku/>
        <w:wordWrap/>
        <w:autoSpaceDE/>
        <w:autoSpaceDN/>
        <w:bidi w:val="0"/>
        <w:spacing w:beforeAutospacing="0" w:afterAutospacing="0" w:line="560" w:lineRule="exact"/>
        <w:ind w:left="0" w:leftChars="0" w:right="0" w:rightChars="0" w:firstLine="643" w:firstLineChars="200"/>
        <w:jc w:val="both"/>
        <w:rPr>
          <w:rFonts w:hint="default" w:ascii="FreeSerif" w:hAnsi="FreeSerif" w:eastAsia="方正楷体_GBK" w:cs="FreeSerif"/>
          <w:sz w:val="31"/>
          <w:szCs w:val="31"/>
          <w:shd w:val="clear" w:color="auto" w:fill="FFFFFF"/>
        </w:rPr>
      </w:pPr>
      <w:r>
        <w:rPr>
          <w:rFonts w:hint="default" w:ascii="仿宋_GB2312" w:hAnsi="仿宋" w:eastAsia="仿宋_GB2312" w:cs="宋体"/>
          <w:b/>
          <w:bCs/>
          <w:kern w:val="0"/>
          <w:sz w:val="32"/>
          <w:szCs w:val="32"/>
          <w:lang w:val="en-US" w:eastAsia="zh-CN" w:bidi="ar-SA"/>
        </w:rPr>
        <w:t>（七）提高矿产资源开发利用能力</w:t>
      </w:r>
      <w:r>
        <w:rPr>
          <w:rFonts w:hint="default" w:ascii="仿宋_GB2312" w:hAnsi="仿宋" w:eastAsia="仿宋_GB2312" w:cs="宋体"/>
          <w:kern w:val="0"/>
          <w:sz w:val="32"/>
          <w:szCs w:val="32"/>
          <w:lang w:val="en-US" w:eastAsia="zh-CN" w:bidi="ar-SA"/>
        </w:rPr>
        <w:t>用好增量、盘活存量，积极鼓励金属矿山企业加强深部资源和周边零星资源的勘查开发。持续推进濉溪县杨桥孜铜金矿探矿权、杜集区王场铁矿探矿权、烈山区龟山、马桥山建筑石料用灰岩矿出让工作。开展矿山超层越界动态监测工作。明确建设工程土石料处置具体流程，规范工程项目采挖砂石管理。</w:t>
      </w:r>
    </w:p>
    <w:p>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rPr>
      </w:pPr>
      <w:r>
        <w:rPr>
          <w:rFonts w:hint="default" w:ascii="FreeSerif" w:hAnsi="FreeSerif" w:eastAsia="CESI黑体-GB2312" w:cs="FreeSerif"/>
          <w:sz w:val="32"/>
          <w:szCs w:val="32"/>
        </w:rPr>
        <w:t>三、持续提升规划服务水平，以更高标准推动蓝图落地</w:t>
      </w:r>
    </w:p>
    <w:p>
      <w:pPr>
        <w:pageBreakBefore w:val="0"/>
        <w:kinsoku/>
        <w:wordWrap/>
        <w:overflowPunct w:val="0"/>
        <w:autoSpaceDE/>
        <w:autoSpaceDN/>
        <w:bidi w:val="0"/>
        <w:spacing w:line="560" w:lineRule="exact"/>
        <w:ind w:left="0" w:leftChars="0" w:right="0" w:rightChars="0" w:firstLine="643" w:firstLineChars="200"/>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（八）健全国土空间规划体系</w:t>
      </w:r>
      <w:r>
        <w:rPr>
          <w:rFonts w:hint="default" w:ascii="仿宋_GB2312" w:hAnsi="仿宋" w:eastAsia="仿宋_GB2312" w:cs="宋体"/>
          <w:kern w:val="0"/>
          <w:sz w:val="32"/>
          <w:szCs w:val="32"/>
          <w:lang w:val="en-US" w:eastAsia="zh-CN" w:bidi="ar-SA"/>
        </w:rPr>
        <w:t>做好“顶层设计”，加快推进县级、镇级国土空间总体规划编制和审批工作，实现市、县、镇三级国土空间总体规划全覆盖。按照应编尽编原则，做好全市“多规合一”实用性村庄规划编制、审批和备案工作，提升和美乡村精品示范村规划水平。</w:t>
      </w:r>
    </w:p>
    <w:p>
      <w:pPr>
        <w:pStyle w:val="5"/>
        <w:pageBreakBefore w:val="0"/>
        <w:widowControl/>
        <w:shd w:val="clear" w:color="auto" w:fill="FFFFFF"/>
        <w:kinsoku/>
        <w:wordWrap/>
        <w:autoSpaceDE/>
        <w:autoSpaceDN/>
        <w:bidi w:val="0"/>
        <w:spacing w:beforeAutospacing="0" w:afterAutospacing="0" w:line="560" w:lineRule="exact"/>
        <w:ind w:left="0" w:leftChars="0" w:right="0" w:rightChars="0" w:firstLine="643" w:firstLineChars="200"/>
        <w:jc w:val="both"/>
        <w:rPr>
          <w:rStyle w:val="8"/>
          <w:rFonts w:hint="default" w:ascii="FreeSerif" w:hAnsi="FreeSerif" w:eastAsia="CESI仿宋-GB2312" w:cs="FreeSerif"/>
          <w:b w:val="0"/>
          <w:bCs/>
          <w:sz w:val="32"/>
          <w:szCs w:val="32"/>
        </w:rPr>
      </w:pPr>
      <w:r>
        <w:rPr>
          <w:rFonts w:hint="default" w:ascii="仿宋_GB2312" w:hAnsi="仿宋" w:eastAsia="仿宋_GB2312" w:cs="宋体"/>
          <w:b/>
          <w:bCs/>
          <w:kern w:val="0"/>
          <w:sz w:val="32"/>
          <w:szCs w:val="32"/>
          <w:lang w:val="en-US" w:eastAsia="zh-CN" w:bidi="ar-SA"/>
        </w:rPr>
        <w:t>（九）</w:t>
      </w:r>
      <w:r>
        <w:rPr>
          <w:rFonts w:hint="default" w:ascii="仿宋_GB2312" w:hAnsi="仿宋" w:eastAsia="仿宋_GB2312" w:cs="宋体"/>
          <w:b/>
          <w:bCs/>
          <w:kern w:val="0"/>
          <w:sz w:val="32"/>
          <w:szCs w:val="32"/>
          <w:lang w:val="en" w:eastAsia="zh-CN" w:bidi="ar-SA"/>
        </w:rPr>
        <w:t>加快重点片区详细规划编制</w:t>
      </w:r>
      <w:r>
        <w:rPr>
          <w:rFonts w:hint="default" w:ascii="仿宋_GB2312" w:hAnsi="仿宋" w:eastAsia="仿宋_GB2312" w:cs="宋体"/>
          <w:kern w:val="0"/>
          <w:sz w:val="32"/>
          <w:szCs w:val="32"/>
          <w:lang w:val="en-US" w:eastAsia="zh-CN" w:bidi="ar-SA"/>
        </w:rPr>
        <w:t>在国土空间总体规划指引下，全面开展城镇开发边界内详细规划编制工作。明确单元划分，开发建设总规模，教育、医疗、养老等公共服务设施布局。启动东部新城核心区详细规划编制工作。有序编制市高新区、临涣化工园区等重点区域成片开发方案。推进城镇开发边界局部优化调整，支持临涣化工园区扩区升级。</w:t>
      </w:r>
    </w:p>
    <w:p>
      <w:pPr>
        <w:pStyle w:val="5"/>
        <w:pageBreakBefore w:val="0"/>
        <w:widowControl/>
        <w:shd w:val="clear" w:color="auto" w:fill="FFFFFF"/>
        <w:kinsoku/>
        <w:wordWrap/>
        <w:autoSpaceDE/>
        <w:autoSpaceDN/>
        <w:bidi w:val="0"/>
        <w:spacing w:beforeAutospacing="0" w:afterAutospacing="0" w:line="560" w:lineRule="exact"/>
        <w:ind w:left="0" w:leftChars="0" w:right="0" w:rightChars="0" w:firstLine="643" w:firstLineChars="200"/>
        <w:jc w:val="both"/>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（十）加强规划传导和刚性约束</w:t>
      </w:r>
      <w:r>
        <w:rPr>
          <w:rFonts w:hint="default" w:ascii="仿宋_GB2312" w:hAnsi="仿宋" w:eastAsia="仿宋_GB2312" w:cs="宋体"/>
          <w:kern w:val="0"/>
          <w:sz w:val="32"/>
          <w:szCs w:val="32"/>
          <w:lang w:val="en-US" w:eastAsia="zh-CN" w:bidi="ar-SA"/>
        </w:rPr>
        <w:t>注重沿城市主干道、中心湖带、主要山体等景观轴线、节点区域的城市设计，精心打造城市天际线和景观视廊，构建“望得见山、看得见水”的城市特色风貌。</w:t>
      </w:r>
    </w:p>
    <w:p>
      <w:pPr>
        <w:pageBreakBefore w:val="0"/>
        <w:kinsoku/>
        <w:wordWrap/>
        <w:overflowPunct w:val="0"/>
        <w:autoSpaceDE/>
        <w:autoSpaceDN/>
        <w:bidi w:val="0"/>
        <w:spacing w:line="560" w:lineRule="exact"/>
        <w:ind w:left="0" w:leftChars="0" w:right="0" w:rightChars="0" w:firstLine="643" w:firstLineChars="200"/>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（十一）强化规划实施和管理</w:t>
      </w:r>
      <w:r>
        <w:rPr>
          <w:rFonts w:hint="default" w:ascii="仿宋_GB2312" w:hAnsi="仿宋" w:eastAsia="仿宋_GB2312" w:cs="宋体"/>
          <w:kern w:val="0"/>
          <w:sz w:val="32"/>
          <w:szCs w:val="32"/>
          <w:lang w:val="en-US" w:eastAsia="zh-CN" w:bidi="ar-SA"/>
        </w:rPr>
        <w:t>探索建设工程土地核验与规划核实同步办理，进一步完善规划实施监督管理体制。合理布局电力线路路由，统筹规划市政道路和管线综合设计，集约利用地下空间。完善我市建设工程设计方案审查管理办法，细化审查细则，确保审批各阶段、各环节无缝衔接。</w:t>
      </w:r>
    </w:p>
    <w:p>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eastAsia="zh-CN"/>
        </w:rPr>
        <w:t>四、</w:t>
      </w:r>
      <w:r>
        <w:rPr>
          <w:rFonts w:hint="default" w:ascii="FreeSerif" w:hAnsi="FreeSerif" w:eastAsia="CESI黑体-GB2312" w:cs="FreeSerif"/>
          <w:sz w:val="32"/>
          <w:szCs w:val="32"/>
        </w:rPr>
        <w:t>压紧压实资源保护责任，以更高站位守护粮食安全</w:t>
      </w:r>
    </w:p>
    <w:p>
      <w:pPr>
        <w:pageBreakBefore w:val="0"/>
        <w:widowControl w:val="0"/>
        <w:numPr>
          <w:ilvl w:val="0"/>
          <w:numId w:val="0"/>
        </w:numPr>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（十二）压实耕地保护主体责任</w:t>
      </w:r>
      <w:r>
        <w:rPr>
          <w:rFonts w:hint="default" w:ascii="仿宋_GB2312" w:hAnsi="仿宋" w:eastAsia="仿宋_GB2312" w:cs="宋体"/>
          <w:kern w:val="0"/>
          <w:sz w:val="32"/>
          <w:szCs w:val="32"/>
          <w:lang w:val="en-US" w:eastAsia="zh-CN" w:bidi="ar-SA"/>
        </w:rPr>
        <w:t>把耕地保护目标纳入各级党委政府目标考核内容，分级签订目标责任书，扎实做好耕地保护和粮食安全责任制考核。督促矿山企业实施耕地恢复工作，确保耕地数量不减少、质量不降低。认真做好2023年度国土变更调查，为耕地保护提供真实可靠的数据支撑。</w:t>
      </w:r>
    </w:p>
    <w:p>
      <w:pPr>
        <w:pStyle w:val="11"/>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（十三）严格落实耕地“进出平衡”制度</w:t>
      </w:r>
      <w:r>
        <w:rPr>
          <w:rFonts w:hint="default" w:ascii="仿宋_GB2312" w:hAnsi="仿宋" w:eastAsia="仿宋_GB2312" w:cs="宋体"/>
          <w:kern w:val="0"/>
          <w:sz w:val="32"/>
          <w:szCs w:val="32"/>
          <w:lang w:val="en-US" w:eastAsia="zh-CN" w:bidi="ar-SA"/>
        </w:rPr>
        <w:t>全面摸清耕地后备资源，严格补充耕地项目管理，统筹各类非耕地资源用于落实补充耕地任务</w:t>
      </w:r>
      <w:r>
        <w:rPr>
          <w:rFonts w:hint="eastAsia" w:ascii="仿宋_GB2312" w:hAnsi="仿宋" w:eastAsia="仿宋_GB2312" w:cs="宋体"/>
          <w:kern w:val="0"/>
          <w:sz w:val="32"/>
          <w:szCs w:val="32"/>
          <w:lang w:val="en-US" w:eastAsia="zh-CN" w:bidi="ar-SA"/>
        </w:rPr>
        <w:t>。</w:t>
      </w:r>
      <w:r>
        <w:rPr>
          <w:rFonts w:hint="default" w:ascii="仿宋_GB2312" w:hAnsi="仿宋" w:eastAsia="仿宋_GB2312" w:cs="宋体"/>
          <w:kern w:val="0"/>
          <w:sz w:val="32"/>
          <w:szCs w:val="32"/>
          <w:lang w:val="en-US" w:eastAsia="zh-CN" w:bidi="ar-SA"/>
        </w:rPr>
        <w:t>用好建设用地市级指标池政策，有效增加耕地面积，保障发展用地需求。开展耕地保护专项清理和耕地占补平衡专项整治。严格永久基本农田占用和补划。分类稳妥开展违规占用耕地整改复耕，合理安排时序，坚决杜绝“简单化”“一刀切”。</w:t>
      </w:r>
    </w:p>
    <w:p>
      <w:pPr>
        <w:pStyle w:val="11"/>
        <w:pageBreakBefore w:val="0"/>
        <w:widowControl w:val="0"/>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kern w:val="0"/>
          <w:sz w:val="32"/>
          <w:szCs w:val="32"/>
          <w:lang w:val="en-US" w:eastAsia="zh-CN" w:bidi="ar-SA"/>
        </w:rPr>
      </w:pPr>
      <w:r>
        <w:rPr>
          <w:rFonts w:hint="default" w:ascii="仿宋_GB2312" w:hAnsi="仿宋" w:eastAsia="仿宋_GB2312" w:cs="宋体"/>
          <w:b/>
          <w:bCs/>
          <w:kern w:val="0"/>
          <w:sz w:val="32"/>
          <w:szCs w:val="32"/>
          <w:lang w:val="en-US" w:eastAsia="zh-CN" w:bidi="ar-SA"/>
        </w:rPr>
        <w:t>（十四）建立耕地保护源头预防机制</w:t>
      </w:r>
      <w:r>
        <w:rPr>
          <w:rFonts w:hint="default" w:ascii="仿宋_GB2312" w:hAnsi="仿宋" w:eastAsia="仿宋_GB2312" w:cs="宋体"/>
          <w:kern w:val="0"/>
          <w:sz w:val="32"/>
          <w:szCs w:val="32"/>
          <w:lang w:val="en-US" w:eastAsia="zh-CN" w:bidi="ar-SA"/>
        </w:rPr>
        <w:t>坚持以数字化改革为引领，建立农田数字化网格化管理平台，积极探索“技防+人防”有效手段，实现耕地用途管制全覆盖。</w:t>
      </w:r>
    </w:p>
    <w:p>
      <w:pPr>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（十五）抓好违法违规用地整改</w:t>
      </w:r>
      <w:r>
        <w:rPr>
          <w:rFonts w:hint="default" w:ascii="仿宋_GB2312" w:hAnsi="仿宋" w:eastAsia="仿宋_GB2312" w:cs="宋体"/>
          <w:b w:val="0"/>
          <w:bCs w:val="0"/>
          <w:kern w:val="0"/>
          <w:sz w:val="32"/>
          <w:szCs w:val="32"/>
          <w:lang w:val="en-US" w:eastAsia="zh-CN" w:bidi="ar-SA"/>
        </w:rPr>
        <w:t>全力抓好土地督察和卫片执法发现问题整改工作，加强行纪衔接、行刑衔接、府院联动，对新增违法实行零容忍，采取“长牙齿”的硬措施，发现一起查处一起，做到既处理事又处理人。紧盯例行督察反馈问题及省委巡视反馈历年卫片挂账问题，联合市纪委监委、市委督查考核办，一周一调度、半月一督办，力争2024年4月底前见底清零。</w:t>
      </w:r>
    </w:p>
    <w:p>
      <w:pPr>
        <w:pageBreakBefore w:val="0"/>
        <w:kinsoku/>
        <w:wordWrap/>
        <w:autoSpaceDE/>
        <w:autoSpaceDN/>
        <w:bidi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eastAsia="zh-CN"/>
        </w:rPr>
        <w:t>五、深化土地集约节约利用，以更大力度挖掘“沉睡”资源</w:t>
      </w:r>
    </w:p>
    <w:p>
      <w:pPr>
        <w:pageBreakBefore w:val="0"/>
        <w:widowControl w:val="0"/>
        <w:numPr>
          <w:ilvl w:val="0"/>
          <w:numId w:val="0"/>
        </w:numPr>
        <w:kinsoku/>
        <w:wordWrap/>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（十六）系统推进综合改革试点</w:t>
      </w:r>
      <w:r>
        <w:rPr>
          <w:rFonts w:hint="default" w:ascii="仿宋_GB2312" w:hAnsi="仿宋" w:eastAsia="仿宋_GB2312" w:cs="宋体"/>
          <w:b w:val="0"/>
          <w:bCs w:val="0"/>
          <w:kern w:val="0"/>
          <w:sz w:val="32"/>
          <w:szCs w:val="32"/>
          <w:lang w:val="zh-TW" w:eastAsia="zh-CN" w:bidi="ar-SA"/>
        </w:rPr>
        <w:t>实施</w:t>
      </w:r>
      <w:r>
        <w:rPr>
          <w:rFonts w:hint="default" w:ascii="仿宋_GB2312" w:hAnsi="仿宋" w:eastAsia="仿宋_GB2312" w:cs="宋体"/>
          <w:b w:val="0"/>
          <w:bCs w:val="0"/>
          <w:kern w:val="0"/>
          <w:sz w:val="32"/>
          <w:szCs w:val="32"/>
          <w:lang w:val="en-US" w:eastAsia="zh-CN" w:bidi="ar-SA"/>
        </w:rPr>
        <w:t>“清单+闭环”</w:t>
      </w:r>
      <w:r>
        <w:rPr>
          <w:rFonts w:hint="default" w:ascii="仿宋_GB2312" w:hAnsi="仿宋" w:eastAsia="仿宋_GB2312" w:cs="宋体"/>
          <w:b w:val="0"/>
          <w:bCs w:val="0"/>
          <w:kern w:val="0"/>
          <w:sz w:val="32"/>
          <w:szCs w:val="32"/>
          <w:lang w:val="zh-TW" w:eastAsia="zh-CN" w:bidi="ar-SA"/>
        </w:rPr>
        <w:t>管理，</w:t>
      </w:r>
      <w:r>
        <w:rPr>
          <w:rFonts w:hint="default" w:ascii="仿宋_GB2312" w:hAnsi="仿宋" w:eastAsia="仿宋_GB2312" w:cs="宋体"/>
          <w:b w:val="0"/>
          <w:bCs w:val="0"/>
          <w:kern w:val="0"/>
          <w:sz w:val="32"/>
          <w:szCs w:val="32"/>
          <w:lang w:val="en-US" w:eastAsia="zh-CN" w:bidi="ar-SA"/>
        </w:rPr>
        <w:t>抓好土地节约集约利用综合改革各项颗粒化任务推进落实，做好中期评估、年度评价考核工作，按时完成10项改革任务。</w:t>
      </w:r>
      <w:r>
        <w:rPr>
          <w:rFonts w:hint="default" w:ascii="仿宋_GB2312" w:hAnsi="仿宋" w:eastAsia="仿宋_GB2312" w:cs="宋体"/>
          <w:b w:val="0"/>
          <w:bCs w:val="0"/>
          <w:kern w:val="0"/>
          <w:sz w:val="32"/>
          <w:szCs w:val="32"/>
          <w:lang w:val="zh-TW" w:eastAsia="zh-CN" w:bidi="ar-SA"/>
        </w:rPr>
        <w:t>做好全市5个省级开发区节约集约用地评价指导工作。</w:t>
      </w:r>
    </w:p>
    <w:p>
      <w:pPr>
        <w:pStyle w:val="11"/>
        <w:pageBreakBefore w:val="0"/>
        <w:widowControl w:val="0"/>
        <w:numPr>
          <w:ilvl w:val="0"/>
          <w:numId w:val="0"/>
        </w:numPr>
        <w:kinsoku/>
        <w:wordWrap/>
        <w:overflowPunct w:val="0"/>
        <w:topLinePunct w:val="0"/>
        <w:autoSpaceDE/>
        <w:autoSpaceDN/>
        <w:bidi w:val="0"/>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zh-TW" w:eastAsia="zh-CN" w:bidi="ar-SA"/>
        </w:rPr>
        <w:t>（十七）落实“增存挂钩”机制</w:t>
      </w:r>
      <w:r>
        <w:rPr>
          <w:rFonts w:hint="default" w:ascii="仿宋_GB2312" w:hAnsi="仿宋" w:eastAsia="仿宋_GB2312" w:cs="宋体"/>
          <w:b w:val="0"/>
          <w:bCs w:val="0"/>
          <w:kern w:val="0"/>
          <w:sz w:val="32"/>
          <w:szCs w:val="32"/>
          <w:lang w:val="en-US" w:eastAsia="zh-CN" w:bidi="ar-SA"/>
        </w:rPr>
        <w:t>出台《淮北市推进批而未供、闲置低效工业用地处置工作实施方案》，成立工作专班，量化县区年度目标，</w:t>
      </w:r>
      <w:r>
        <w:rPr>
          <w:rFonts w:hint="default" w:ascii="仿宋_GB2312" w:hAnsi="仿宋" w:eastAsia="仿宋_GB2312" w:cs="宋体"/>
          <w:b w:val="0"/>
          <w:bCs w:val="0"/>
          <w:kern w:val="0"/>
          <w:sz w:val="32"/>
          <w:szCs w:val="32"/>
          <w:lang w:val="zh-TW" w:eastAsia="zh-CN" w:bidi="ar-SA"/>
        </w:rPr>
        <w:t>持续推进批而未供、闲置土地处置工作，</w:t>
      </w:r>
      <w:r>
        <w:rPr>
          <w:rFonts w:hint="eastAsia" w:ascii="仿宋_GB2312" w:hAnsi="仿宋" w:eastAsia="仿宋_GB2312" w:cs="宋体"/>
          <w:b w:val="0"/>
          <w:bCs w:val="0"/>
          <w:kern w:val="0"/>
          <w:sz w:val="32"/>
          <w:szCs w:val="32"/>
          <w:lang w:val="zh-TW" w:eastAsia="zh-CN" w:bidi="ar-SA"/>
        </w:rPr>
        <w:t>全年处置闲置土地</w:t>
      </w:r>
      <w:r>
        <w:rPr>
          <w:rFonts w:hint="eastAsia" w:ascii="仿宋_GB2312" w:hAnsi="仿宋" w:eastAsia="仿宋_GB2312" w:cs="宋体"/>
          <w:b w:val="0"/>
          <w:bCs w:val="0"/>
          <w:kern w:val="0"/>
          <w:sz w:val="32"/>
          <w:szCs w:val="32"/>
          <w:lang w:val="en-US" w:eastAsia="zh-CN" w:bidi="ar-SA"/>
        </w:rPr>
        <w:t>1160亩以上</w:t>
      </w:r>
      <w:r>
        <w:rPr>
          <w:rFonts w:hint="default" w:ascii="仿宋_GB2312" w:hAnsi="仿宋" w:eastAsia="仿宋_GB2312" w:cs="宋体"/>
          <w:b w:val="0"/>
          <w:bCs w:val="0"/>
          <w:kern w:val="0"/>
          <w:sz w:val="32"/>
          <w:szCs w:val="32"/>
          <w:lang w:val="zh-TW" w:eastAsia="zh-CN" w:bidi="ar-SA"/>
        </w:rPr>
        <w:t>。编制年度实施计划</w:t>
      </w:r>
      <w:r>
        <w:rPr>
          <w:rFonts w:hint="eastAsia" w:ascii="仿宋_GB2312" w:hAnsi="仿宋" w:eastAsia="仿宋_GB2312" w:cs="宋体"/>
          <w:b w:val="0"/>
          <w:bCs w:val="0"/>
          <w:kern w:val="0"/>
          <w:sz w:val="32"/>
          <w:szCs w:val="32"/>
          <w:lang w:val="en-US" w:eastAsia="zh-CN" w:bidi="ar-SA"/>
        </w:rPr>
        <w:t>,</w:t>
      </w:r>
      <w:r>
        <w:rPr>
          <w:rFonts w:hint="default" w:ascii="仿宋_GB2312" w:hAnsi="仿宋" w:eastAsia="仿宋_GB2312" w:cs="宋体"/>
          <w:b w:val="0"/>
          <w:bCs w:val="0"/>
          <w:kern w:val="0"/>
          <w:sz w:val="32"/>
          <w:szCs w:val="32"/>
          <w:lang w:val="en-US" w:eastAsia="zh-CN" w:bidi="ar-SA"/>
        </w:rPr>
        <w:t>完成</w:t>
      </w:r>
      <w:r>
        <w:rPr>
          <w:rFonts w:hint="default" w:ascii="仿宋_GB2312" w:hAnsi="仿宋" w:eastAsia="仿宋_GB2312" w:cs="宋体"/>
          <w:b w:val="0"/>
          <w:bCs w:val="0"/>
          <w:kern w:val="0"/>
          <w:sz w:val="32"/>
          <w:szCs w:val="32"/>
          <w:lang w:val="zh-TW" w:eastAsia="zh-CN" w:bidi="ar-SA"/>
        </w:rPr>
        <w:t>年度低效用地再开发目标任务。用好存量、控制增量，单位</w:t>
      </w:r>
      <w:r>
        <w:rPr>
          <w:rFonts w:hint="default" w:ascii="仿宋_GB2312" w:hAnsi="仿宋" w:eastAsia="仿宋_GB2312" w:cs="宋体"/>
          <w:b w:val="0"/>
          <w:bCs w:val="0"/>
          <w:kern w:val="0"/>
          <w:sz w:val="32"/>
          <w:szCs w:val="32"/>
          <w:lang w:val="en-US" w:eastAsia="zh-CN" w:bidi="ar-SA"/>
        </w:rPr>
        <w:t>GDP建设用地下降率排名实现争先进位。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黑体" w:cs="FreeSerif"/>
          <w:b w:val="0"/>
          <w:bCs/>
          <w:sz w:val="32"/>
          <w:szCs w:val="32"/>
        </w:rPr>
      </w:pPr>
      <w:r>
        <w:rPr>
          <w:rFonts w:hint="default" w:ascii="FreeSerif" w:hAnsi="FreeSerif" w:eastAsia="CESI黑体-GB2312" w:cs="FreeSerif"/>
          <w:sz w:val="32"/>
          <w:szCs w:val="32"/>
          <w:lang w:eastAsia="zh-CN"/>
        </w:rPr>
        <w:t>六、扎实开展生态修复工作，以更实作风护航绿水青山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textAlignment w:val="top"/>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（十八）持续加强矿山生态修复</w:t>
      </w:r>
      <w:r>
        <w:rPr>
          <w:rFonts w:hint="default" w:ascii="仿宋_GB2312" w:hAnsi="仿宋" w:eastAsia="仿宋_GB2312" w:cs="宋体"/>
          <w:b w:val="0"/>
          <w:bCs w:val="0"/>
          <w:kern w:val="0"/>
          <w:sz w:val="32"/>
          <w:szCs w:val="32"/>
          <w:lang w:val="zh-TW" w:eastAsia="zh-CN" w:bidi="ar-SA"/>
        </w:rPr>
        <w:t>落实《淮北市国土空间生态修复规划（2022</w:t>
      </w:r>
      <w:r>
        <w:rPr>
          <w:rFonts w:hint="default" w:ascii="仿宋_GB2312" w:hAnsi="仿宋" w:eastAsia="仿宋_GB2312" w:cs="宋体"/>
          <w:b w:val="0"/>
          <w:bCs w:val="0"/>
          <w:kern w:val="0"/>
          <w:sz w:val="32"/>
          <w:szCs w:val="32"/>
          <w:lang w:val="en" w:eastAsia="zh-CN" w:bidi="ar-SA"/>
        </w:rPr>
        <w:t>—</w:t>
      </w:r>
      <w:r>
        <w:rPr>
          <w:rFonts w:hint="default" w:ascii="仿宋_GB2312" w:hAnsi="仿宋" w:eastAsia="仿宋_GB2312" w:cs="宋体"/>
          <w:b w:val="0"/>
          <w:bCs w:val="0"/>
          <w:kern w:val="0"/>
          <w:sz w:val="32"/>
          <w:szCs w:val="32"/>
          <w:lang w:val="zh-TW" w:eastAsia="zh-CN" w:bidi="ar-SA"/>
        </w:rPr>
        <w:t>2035年）》，打造更多生态修复亮点项目。完成新北沱河烈山片区山水林田湖草项目验收。印发2024年废弃矿山生态修复计划，完成废弃矿山生态修复项目15个，面积2643亩。督促矿山企业落实“边开采、边治理”责任，推进在建与生产矿山生态修复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（十九）加快推进采煤沉陷区治理</w:t>
      </w:r>
      <w:r>
        <w:rPr>
          <w:rFonts w:hint="default" w:ascii="仿宋_GB2312" w:hAnsi="仿宋" w:eastAsia="仿宋_GB2312" w:cs="宋体"/>
          <w:b w:val="0"/>
          <w:bCs w:val="0"/>
          <w:kern w:val="0"/>
          <w:sz w:val="32"/>
          <w:szCs w:val="32"/>
          <w:lang w:val="en-US" w:eastAsia="zh-CN" w:bidi="ar-SA"/>
        </w:rPr>
        <w:t>下达采煤沉陷区治理计划，确保完成年度治理任务。</w:t>
      </w:r>
      <w:r>
        <w:rPr>
          <w:rFonts w:hint="default" w:ascii="仿宋_GB2312" w:hAnsi="仿宋" w:eastAsia="仿宋_GB2312" w:cs="宋体"/>
          <w:b w:val="0"/>
          <w:bCs w:val="0"/>
          <w:kern w:val="0"/>
          <w:sz w:val="32"/>
          <w:szCs w:val="32"/>
          <w:lang w:val="zh-TW" w:eastAsia="zh-CN" w:bidi="ar-SA"/>
        </w:rPr>
        <w:t>落实省发改委等10部门文件要求，推进已关闭煤矿沉陷区治理工作。</w:t>
      </w:r>
      <w:r>
        <w:rPr>
          <w:rFonts w:hint="default" w:ascii="仿宋_GB2312" w:hAnsi="仿宋" w:eastAsia="仿宋_GB2312" w:cs="宋体"/>
          <w:b w:val="0"/>
          <w:bCs w:val="0"/>
          <w:kern w:val="0"/>
          <w:sz w:val="32"/>
          <w:szCs w:val="32"/>
          <w:lang w:val="en-US" w:eastAsia="zh-CN" w:bidi="ar-SA"/>
        </w:rPr>
        <w:t>.</w:t>
      </w:r>
      <w:r>
        <w:rPr>
          <w:rFonts w:hint="default" w:ascii="仿宋_GB2312" w:hAnsi="仿宋" w:eastAsia="仿宋_GB2312" w:cs="宋体"/>
          <w:b w:val="0"/>
          <w:bCs w:val="0"/>
          <w:kern w:val="0"/>
          <w:sz w:val="32"/>
          <w:szCs w:val="32"/>
          <w:lang w:val="zh-TW" w:eastAsia="zh-CN" w:bidi="ar-SA"/>
        </w:rPr>
        <w:t>更新完成2023年度采煤沉陷区基本情况调查数据。做好博士后科研工作站第二批进站博士选拔工作。加</w:t>
      </w:r>
      <w:r>
        <w:rPr>
          <w:rFonts w:hint="default" w:ascii="仿宋_GB2312" w:hAnsi="仿宋" w:eastAsia="仿宋_GB2312" w:cs="宋体"/>
          <w:b w:val="0"/>
          <w:bCs w:val="0"/>
          <w:kern w:val="0"/>
          <w:sz w:val="32"/>
          <w:szCs w:val="32"/>
          <w:lang w:val="en" w:eastAsia="zh-CN" w:bidi="ar-SA"/>
        </w:rPr>
        <w:t>大</w:t>
      </w:r>
      <w:r>
        <w:rPr>
          <w:rFonts w:hint="default" w:ascii="仿宋_GB2312" w:hAnsi="仿宋" w:eastAsia="仿宋_GB2312" w:cs="宋体"/>
          <w:b w:val="0"/>
          <w:bCs w:val="0"/>
          <w:kern w:val="0"/>
          <w:sz w:val="32"/>
          <w:szCs w:val="32"/>
          <w:lang w:val="zh-TW" w:eastAsia="zh-CN" w:bidi="ar-SA"/>
        </w:rPr>
        <w:t>督察督办力度，确保村庄搬迁安置各项工作落实到位。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rPr>
          <w:rFonts w:hint="default" w:ascii="仿宋_GB2312" w:hAnsi="仿宋" w:eastAsia="仿宋_GB2312" w:cs="宋体"/>
          <w:b w:val="0"/>
          <w:bCs w:val="0"/>
          <w:kern w:val="0"/>
          <w:sz w:val="32"/>
          <w:szCs w:val="32"/>
          <w:lang w:val="zh-TW" w:eastAsia="zh-CN" w:bidi="ar-SA"/>
        </w:rPr>
      </w:pPr>
      <w:r>
        <w:rPr>
          <w:rFonts w:hint="default" w:ascii="仿宋_GB2312" w:hAnsi="仿宋" w:eastAsia="仿宋_GB2312" w:cs="宋体"/>
          <w:b/>
          <w:bCs/>
          <w:kern w:val="0"/>
          <w:sz w:val="32"/>
          <w:szCs w:val="32"/>
          <w:lang w:val="zh-TW" w:eastAsia="zh-CN" w:bidi="ar-SA"/>
        </w:rPr>
        <w:t>（二十）用好全域土地综合整治试点</w:t>
      </w:r>
      <w:r>
        <w:rPr>
          <w:rFonts w:hint="default" w:ascii="仿宋_GB2312" w:hAnsi="仿宋" w:eastAsia="仿宋_GB2312" w:cs="宋体"/>
          <w:b w:val="0"/>
          <w:bCs w:val="0"/>
          <w:kern w:val="0"/>
          <w:sz w:val="32"/>
          <w:szCs w:val="32"/>
          <w:lang w:val="zh-TW" w:eastAsia="zh-CN" w:bidi="ar-SA"/>
        </w:rPr>
        <w:t>开展项目中期评估自评工作，完成市级复核，进一步优化农村地区国土空间格局，打造全域土地整治试点工作样板。压实矿山企业主体责任，加强日常监督，做好矿业权人勘查开采信息公示及矿山储量核查工作。积极组织符合条件的矿山企业申报绿色矿山。做好重点项目压覆矿产资源审查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eastAsia="zh-CN"/>
        </w:rPr>
        <w:t>七、持续创建一流营商环境，以更优服务办好民生实事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（二十二）做好确权登记工作</w:t>
      </w:r>
      <w:r>
        <w:rPr>
          <w:rFonts w:hint="default" w:ascii="仿宋_GB2312" w:hAnsi="仿宋" w:eastAsia="仿宋_GB2312" w:cs="宋体"/>
          <w:b w:val="0"/>
          <w:bCs w:val="0"/>
          <w:kern w:val="0"/>
          <w:sz w:val="32"/>
          <w:szCs w:val="32"/>
          <w:lang w:val="en-US" w:eastAsia="zh-CN" w:bidi="ar-SA"/>
        </w:rPr>
        <w:t>巩固提升“难安置”专项治理成效，推进落实“先安置后搬迁”工作机制。分类分批推进我市工业企业不动产“难办证”问题解决。加速开展集体土地所有权、经营权、林权等不动产权登记工作。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（二十三）提升不动产登记服务效能</w:t>
      </w:r>
      <w:r>
        <w:rPr>
          <w:rFonts w:hint="default" w:ascii="仿宋_GB2312" w:hAnsi="仿宋" w:eastAsia="仿宋_GB2312" w:cs="宋体"/>
          <w:b w:val="0"/>
          <w:bCs w:val="0"/>
          <w:kern w:val="0"/>
          <w:sz w:val="32"/>
          <w:szCs w:val="32"/>
          <w:lang w:val="en-US" w:eastAsia="zh-CN" w:bidi="ar-SA"/>
        </w:rPr>
        <w:t>优化不动产登记流程，提升共享信息数据质量，打造不动产登记领域更优营商环境。探索开展企业间“带押过户”，争取在全省率先实现“带押过户”类型全覆盖。推行“线上互联互通”“线下窗口互设”的 “不动产登记+公证”共享协作模式。推出长三角区域不动产登记高频业务“全程网办”“跨省通办”。</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（二十四）优化项目审批</w:t>
      </w:r>
      <w:r>
        <w:rPr>
          <w:rFonts w:hint="default" w:ascii="仿宋_GB2312" w:hAnsi="仿宋" w:eastAsia="仿宋_GB2312" w:cs="宋体"/>
          <w:b w:val="0"/>
          <w:bCs w:val="0"/>
          <w:kern w:val="0"/>
          <w:sz w:val="32"/>
          <w:szCs w:val="32"/>
          <w:lang w:val="en-US" w:eastAsia="zh-CN" w:bidi="ar-SA"/>
        </w:rPr>
        <w:t>依托工程建设项目审批“一站式”集成服务平台，全面推进工程项目审批标准化规范化便利化改革。强化审管联动“一体应用”，打通审批和监管协作通道，探索分级分类审批，进一步简化工业项目审批流程。制定第二批《淮北市建设工程规划许可证豁免项目清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（二十五）强化基础数据支撑</w:t>
      </w:r>
      <w:r>
        <w:rPr>
          <w:rFonts w:hint="default" w:ascii="仿宋_GB2312" w:hAnsi="仿宋" w:eastAsia="仿宋_GB2312" w:cs="宋体"/>
          <w:b w:val="0"/>
          <w:bCs w:val="0"/>
          <w:kern w:val="0"/>
          <w:sz w:val="32"/>
          <w:szCs w:val="32"/>
          <w:lang w:val="en-US" w:eastAsia="zh-CN" w:bidi="ar-SA"/>
        </w:rPr>
        <w:t>探索自然资源数据采集汇聚、整理融合等技术方法和机制，切实发挥自然资源数据一体化支撑作用。增强自然资源数据公共服务能力，稳步有序推进政务数据向社会开放，促进政务服务高效化。推进淮北市实景三维中国建设。加强政府公示地价体系建设，做好2024年度城市地价动态监测及城区标定地价成果更新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CESI黑体-GB2312" w:cs="FreeSerif"/>
          <w:sz w:val="32"/>
          <w:szCs w:val="32"/>
          <w:lang w:eastAsia="zh-CN"/>
        </w:rPr>
      </w:pPr>
      <w:r>
        <w:rPr>
          <w:rFonts w:hint="default" w:ascii="FreeSerif" w:hAnsi="FreeSerif" w:eastAsia="CESI黑体-GB2312" w:cs="FreeSerif"/>
          <w:sz w:val="32"/>
          <w:szCs w:val="32"/>
          <w:lang w:val="en-US" w:eastAsia="zh-CN"/>
        </w:rPr>
        <w:t>八、</w:t>
      </w:r>
      <w:r>
        <w:rPr>
          <w:rFonts w:hint="default" w:ascii="FreeSerif" w:hAnsi="FreeSerif" w:eastAsia="CESI黑体-GB2312" w:cs="FreeSerif"/>
          <w:sz w:val="32"/>
          <w:szCs w:val="32"/>
          <w:lang w:eastAsia="zh-CN"/>
        </w:rPr>
        <w:t>全面加强风险防范水平，以更硬举措筑牢安全防线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（二十六）做好自然资源领域安全生产工作</w:t>
      </w:r>
      <w:r>
        <w:rPr>
          <w:rFonts w:hint="default" w:ascii="仿宋_GB2312" w:hAnsi="仿宋" w:eastAsia="仿宋_GB2312" w:cs="宋体"/>
          <w:b w:val="0"/>
          <w:bCs w:val="0"/>
          <w:kern w:val="0"/>
          <w:sz w:val="32"/>
          <w:szCs w:val="32"/>
          <w:lang w:val="en-US" w:eastAsia="zh-CN" w:bidi="ar-SA"/>
        </w:rPr>
        <w:t>开展全市地质勘查行业和测绘行业安全生产检查，督促矿山企业严格按照开发利用方案有序开采，确保2024年自然资源领域内无安全生产事故发生。编制《淮北市地质灾害防治方案》，严格落实地质灾害“三查”制度和汛期24小时值班制度。完成地质灾害风险调查评价市级集成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rPr>
          <w:rFonts w:hint="default" w:ascii="FreeSerif" w:hAnsi="FreeSerif" w:eastAsia="CESI黑体-GB2312" w:cs="FreeSerif"/>
          <w:sz w:val="32"/>
          <w:szCs w:val="32"/>
          <w:lang w:val="en-US" w:eastAsia="zh-CN"/>
        </w:rPr>
      </w:pPr>
      <w:r>
        <w:rPr>
          <w:rFonts w:hint="default" w:ascii="FreeSerif" w:hAnsi="FreeSerif" w:eastAsia="CESI黑体-GB2312" w:cs="FreeSerif"/>
          <w:sz w:val="32"/>
          <w:szCs w:val="32"/>
          <w:lang w:val="en-US" w:eastAsia="zh-CN"/>
        </w:rPr>
        <w:t>九、不断提升依法行政水平，以更严要求推进法治建设</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（二十八）深化法治政府建设</w:t>
      </w:r>
      <w:r>
        <w:rPr>
          <w:rFonts w:hint="default" w:ascii="仿宋_GB2312" w:hAnsi="仿宋" w:eastAsia="仿宋_GB2312" w:cs="宋体"/>
          <w:b w:val="0"/>
          <w:bCs w:val="0"/>
          <w:kern w:val="0"/>
          <w:sz w:val="32"/>
          <w:szCs w:val="32"/>
          <w:lang w:val="en-US" w:eastAsia="zh-CN" w:bidi="ar-SA"/>
        </w:rPr>
        <w:t>制定年度普法依法治理工作要点，出台政策法规宣传办法。落实自然资源政策法规宣传工作六项机制，结合自然资源主题日宣传活动，推动普法工作向基层延伸。加强执法典型案例培训，依托以案释法增强系统干部职工法治工作能力。开展年度行政执法案卷评查、双随机监督检查工作，印发《重大行政决策程序实施细则》。加强府院联动，建立案件移送跟踪落实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（二十九）完善信访工作机制</w:t>
      </w:r>
      <w:r>
        <w:rPr>
          <w:rFonts w:hint="default" w:ascii="仿宋_GB2312" w:hAnsi="仿宋" w:eastAsia="仿宋_GB2312" w:cs="宋体"/>
          <w:b w:val="0"/>
          <w:bCs w:val="0"/>
          <w:kern w:val="0"/>
          <w:sz w:val="32"/>
          <w:szCs w:val="32"/>
          <w:lang w:val="en-US" w:eastAsia="zh-CN" w:bidi="ar-SA"/>
        </w:rPr>
        <w:t>落实信访工作“一岗双责”，健全信访工作标准体系，完善信访业务制度规范。落实领导干部接访下访和阅批群众来信制度，实行清单化闭环管理。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rPr>
          <w:rFonts w:hint="default" w:ascii="仿宋_GB2312" w:hAnsi="仿宋" w:eastAsia="仿宋_GB2312" w:cs="宋体"/>
          <w:b w:val="0"/>
          <w:bCs w:val="0"/>
          <w:kern w:val="0"/>
          <w:sz w:val="32"/>
          <w:szCs w:val="32"/>
          <w:lang w:val="en-US" w:eastAsia="zh-CN" w:bidi="ar-SA"/>
        </w:rPr>
      </w:pPr>
      <w:r>
        <w:rPr>
          <w:rFonts w:hint="default" w:ascii="仿宋_GB2312" w:hAnsi="仿宋" w:eastAsia="仿宋_GB2312" w:cs="宋体"/>
          <w:b/>
          <w:bCs/>
          <w:kern w:val="0"/>
          <w:sz w:val="32"/>
          <w:szCs w:val="32"/>
          <w:lang w:val="en-US" w:eastAsia="zh-CN" w:bidi="ar-SA"/>
        </w:rPr>
        <w:t>（三十）强化财务监督管理</w:t>
      </w:r>
      <w:r>
        <w:rPr>
          <w:rFonts w:hint="default" w:ascii="仿宋_GB2312" w:hAnsi="仿宋" w:eastAsia="仿宋_GB2312" w:cs="宋体"/>
          <w:b w:val="0"/>
          <w:bCs w:val="0"/>
          <w:kern w:val="0"/>
          <w:sz w:val="32"/>
          <w:szCs w:val="32"/>
          <w:lang w:val="en-US" w:eastAsia="zh-CN" w:bidi="ar-SA"/>
        </w:rPr>
        <w:t>科学编制、高效执行预算，提高财政资金使用效益，以预算执行倒逼工作落实。加强监督，确保财政资金安全高效使用。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pPr>
      <w:r>
        <w:rPr>
          <w:rFonts w:hint="default" w:ascii="仿宋_GB2312" w:hAnsi="仿宋" w:eastAsia="仿宋_GB2312" w:cs="宋体"/>
          <w:b/>
          <w:bCs/>
          <w:kern w:val="0"/>
          <w:sz w:val="32"/>
          <w:szCs w:val="32"/>
          <w:lang w:val="en-US" w:eastAsia="zh-CN" w:bidi="ar-SA"/>
        </w:rPr>
        <w:t>（三十一）统筹做好其他各项工作</w:t>
      </w:r>
      <w:r>
        <w:rPr>
          <w:rFonts w:hint="default" w:ascii="仿宋_GB2312" w:hAnsi="仿宋" w:eastAsia="仿宋_GB2312" w:cs="宋体"/>
          <w:b w:val="0"/>
          <w:bCs w:val="0"/>
          <w:kern w:val="0"/>
          <w:sz w:val="32"/>
          <w:szCs w:val="32"/>
          <w:lang w:val="en-US" w:eastAsia="zh-CN" w:bidi="ar-SA"/>
        </w:rPr>
        <w:t>做好工青妇群团建设。做好定点帮扶工作</w:t>
      </w:r>
      <w:r>
        <w:rPr>
          <w:rFonts w:hint="eastAsia" w:ascii="仿宋_GB2312" w:hAnsi="仿宋" w:eastAsia="仿宋_GB2312" w:cs="宋体"/>
          <w:b w:val="0"/>
          <w:bCs w:val="0"/>
          <w:kern w:val="0"/>
          <w:sz w:val="32"/>
          <w:szCs w:val="32"/>
          <w:lang w:val="en-US" w:eastAsia="zh-CN" w:bidi="ar-SA"/>
        </w:rPr>
        <w:t>。</w:t>
      </w:r>
      <w:r>
        <w:rPr>
          <w:rFonts w:hint="default" w:ascii="仿宋_GB2312" w:hAnsi="仿宋" w:eastAsia="仿宋_GB2312" w:cs="宋体"/>
          <w:b w:val="0"/>
          <w:bCs w:val="0"/>
          <w:kern w:val="0"/>
          <w:sz w:val="32"/>
          <w:szCs w:val="32"/>
          <w:lang w:val="en-US" w:eastAsia="zh-CN" w:bidi="ar-SA"/>
        </w:rPr>
        <w:t>做好统一战线工作。做好信用体系建设工作。做好档案管理工作。统筹做好精神文明建设、军民融合发展、政务公开、双拥、督查督办、机要保密、调查研究、形势分析等各项工作。加大巡视整改调度力度，确保按期完成销号整改任务。</w:t>
      </w: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sz w:val="32"/>
          <w:szCs w:val="32"/>
        </w:rPr>
        <w:t>所有收入和支出均纳入部门预算管理。</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val="en-US" w:eastAsia="zh-CN"/>
        </w:rPr>
        <w:t>3072.29</w:t>
      </w:r>
      <w:r>
        <w:rPr>
          <w:rFonts w:hint="eastAsia" w:ascii="TimesNewRoman" w:hAnsi="TimesNewRoman" w:eastAsia="仿宋_GB2312" w:cs="TimesNewRoman"/>
          <w:sz w:val="32"/>
          <w:szCs w:val="32"/>
        </w:rPr>
        <w:t>万元，收入包括一般公共预算拨款收入、政府性基金预算拨款收入</w:t>
      </w:r>
      <w:r>
        <w:rPr>
          <w:rFonts w:hint="eastAsia" w:ascii="TimesNewRoman" w:hAnsi="TimesNewRoman" w:eastAsia="楷体_GB2312" w:cs="TimesNewRoman"/>
          <w:color w:val="auto"/>
          <w:sz w:val="32"/>
          <w:szCs w:val="32"/>
        </w:rPr>
        <w:t>；</w:t>
      </w:r>
      <w:r>
        <w:rPr>
          <w:rFonts w:hint="eastAsia" w:ascii="TimesNewRoman" w:hAnsi="TimesNewRoman" w:eastAsia="仿宋_GB2312" w:cs="TimesNewRoman"/>
          <w:sz w:val="32"/>
          <w:szCs w:val="32"/>
        </w:rPr>
        <w:t>支出包括：社会保障和就业支出、卫生健康支出、</w:t>
      </w:r>
      <w:r>
        <w:rPr>
          <w:rFonts w:hint="eastAsia" w:ascii="仿宋_GB2312" w:hAnsi="仿宋" w:eastAsia="仿宋_GB2312"/>
          <w:sz w:val="32"/>
          <w:szCs w:val="32"/>
          <w:lang w:eastAsia="zh-CN"/>
        </w:rPr>
        <w:t>城乡社区支出、自然资源海洋气象等支出、</w:t>
      </w:r>
      <w:r>
        <w:rPr>
          <w:rFonts w:hint="eastAsia" w:ascii="TimesNewRoman" w:hAnsi="TimesNewRoman" w:eastAsia="仿宋_GB2312" w:cs="TimesNewRoman"/>
          <w:sz w:val="32"/>
          <w:szCs w:val="32"/>
        </w:rPr>
        <w:t>住房保障支出。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kern w:val="0"/>
          <w:sz w:val="32"/>
          <w:szCs w:val="32"/>
          <w:lang w:val="en-US" w:eastAsia="zh-CN"/>
        </w:rPr>
        <w:t>3072.29</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3072.29</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3072.29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1694.65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55.16</w:t>
      </w:r>
      <w:r>
        <w:rPr>
          <w:rFonts w:hint="eastAsia" w:ascii="TimesNewRoman" w:hAnsi="TimesNewRoman" w:eastAsia="仿宋_GB2312" w:cs="TimesNewRoman"/>
          <w:kern w:val="0"/>
          <w:sz w:val="32"/>
          <w:szCs w:val="32"/>
        </w:rPr>
        <w:t>%，比2023年预算减少</w:t>
      </w:r>
      <w:r>
        <w:rPr>
          <w:rFonts w:hint="eastAsia" w:ascii="TimesNewRoman" w:hAnsi="TimesNewRoman" w:eastAsia="仿宋_GB2312" w:cs="TimesNewRoman"/>
          <w:kern w:val="0"/>
          <w:sz w:val="32"/>
          <w:szCs w:val="32"/>
          <w:lang w:val="en-US" w:eastAsia="zh-CN"/>
        </w:rPr>
        <w:t>3118.6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64.79</w:t>
      </w:r>
      <w:r>
        <w:rPr>
          <w:rFonts w:hint="eastAsia" w:ascii="TimesNewRoman" w:hAnsi="TimesNewRoman" w:eastAsia="仿宋_GB2312" w:cs="TimesNewRoman"/>
          <w:kern w:val="0"/>
          <w:sz w:val="32"/>
          <w:szCs w:val="32"/>
        </w:rPr>
        <w:t>%，原因主要是</w:t>
      </w:r>
      <w:r>
        <w:rPr>
          <w:rFonts w:hint="eastAsia" w:ascii="仿宋_GB2312" w:hAnsi="仿宋" w:eastAsia="仿宋_GB2312" w:cs="Times New Roman"/>
          <w:kern w:val="2"/>
          <w:sz w:val="32"/>
          <w:szCs w:val="32"/>
          <w:highlight w:val="none"/>
        </w:rPr>
        <w:t>“淮北市中湖矿山地质环境治理PPP项目”</w:t>
      </w:r>
      <w:r>
        <w:rPr>
          <w:rFonts w:hint="eastAsia" w:ascii="仿宋_GB2312" w:hAnsi="仿宋" w:eastAsia="仿宋_GB2312" w:cs="Times New Roman"/>
          <w:kern w:val="2"/>
          <w:sz w:val="32"/>
          <w:szCs w:val="32"/>
          <w:highlight w:val="none"/>
          <w:lang w:eastAsia="zh-CN"/>
        </w:rPr>
        <w:t>从一般公共预算拨款收入安排的支出减少</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1377.64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44.84</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281.8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25.72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项目支出增加</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本单位没有</w:t>
      </w:r>
      <w:r>
        <w:rPr>
          <w:rFonts w:hint="eastAsia" w:ascii="TimesNewRoman" w:hAnsi="TimesNewRoman" w:eastAsia="仿宋_GB2312" w:cs="TimesNewRoman"/>
          <w:kern w:val="0"/>
          <w:sz w:val="32"/>
          <w:szCs w:val="32"/>
        </w:rPr>
        <w:t>财政专户管理资金收入。</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3072.29</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2836.79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92.33</w:t>
      </w:r>
      <w:r>
        <w:rPr>
          <w:rFonts w:hint="eastAsia" w:ascii="TimesNewRoman" w:hAnsi="TimesNewRoman" w:eastAsia="仿宋_GB2312" w:cs="TimesNewRoman"/>
          <w:kern w:val="0"/>
          <w:sz w:val="32"/>
          <w:szCs w:val="32"/>
        </w:rPr>
        <w:t>%，原因主要是</w:t>
      </w:r>
      <w:r>
        <w:rPr>
          <w:rFonts w:hint="eastAsia" w:ascii="仿宋_GB2312" w:hAnsi="仿宋" w:eastAsia="仿宋_GB2312" w:cs="Times New Roman"/>
          <w:kern w:val="2"/>
          <w:sz w:val="32"/>
          <w:szCs w:val="32"/>
          <w:highlight w:val="none"/>
          <w:shd w:val="clear" w:color="auto" w:fill="auto"/>
        </w:rPr>
        <w:t>“淮北市中湖矿山地质环</w:t>
      </w:r>
      <w:r>
        <w:rPr>
          <w:rFonts w:hint="eastAsia" w:ascii="仿宋_GB2312" w:hAnsi="仿宋" w:eastAsia="仿宋_GB2312" w:cs="Times New Roman"/>
          <w:kern w:val="2"/>
          <w:sz w:val="32"/>
          <w:szCs w:val="32"/>
          <w:highlight w:val="none"/>
        </w:rPr>
        <w:t>境治理PPP项目”</w:t>
      </w:r>
      <w:r>
        <w:rPr>
          <w:rFonts w:hint="eastAsia" w:ascii="仿宋_GB2312" w:hAnsi="仿宋" w:eastAsia="仿宋_GB2312" w:cs="Times New Roman"/>
          <w:kern w:val="2"/>
          <w:sz w:val="32"/>
          <w:szCs w:val="32"/>
          <w:highlight w:val="none"/>
          <w:lang w:eastAsia="zh-CN"/>
        </w:rPr>
        <w:t>从一般公共预算拨款收入安排的支出减少</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1693.65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55.13</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1378.64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44.87</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highlight w:val="none"/>
        </w:rPr>
        <w:t>局本级项目支出。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3072.29</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1694.65</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1377.64</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3072.29</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383.27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12.48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74.61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2.43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1378.64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44.87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自然资源海洋气象等</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1002.28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32.62</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233.49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7.6</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1694.65</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3118.6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64.79</w:t>
      </w:r>
      <w:r>
        <w:rPr>
          <w:rFonts w:hint="eastAsia" w:ascii="TimesNewRoman" w:hAnsi="TimesNewRoman" w:eastAsia="仿宋_GB2312" w:cs="TimesNewRoman"/>
          <w:kern w:val="0"/>
          <w:sz w:val="32"/>
          <w:szCs w:val="32"/>
        </w:rPr>
        <w:t>%，主要原因：</w:t>
      </w:r>
      <w:r>
        <w:rPr>
          <w:rFonts w:hint="eastAsia" w:ascii="仿宋_GB2312" w:hAnsi="仿宋" w:eastAsia="仿宋_GB2312" w:cs="Times New Roman"/>
          <w:kern w:val="2"/>
          <w:sz w:val="32"/>
          <w:szCs w:val="32"/>
          <w:highlight w:val="none"/>
        </w:rPr>
        <w:t>“淮北市中湖矿山地质环境治理PPP项目”</w:t>
      </w:r>
      <w:r>
        <w:rPr>
          <w:rFonts w:hint="eastAsia" w:ascii="仿宋_GB2312" w:hAnsi="仿宋" w:eastAsia="仿宋_GB2312" w:cs="Times New Roman"/>
          <w:kern w:val="2"/>
          <w:sz w:val="32"/>
          <w:szCs w:val="32"/>
          <w:highlight w:val="none"/>
          <w:lang w:eastAsia="zh-CN"/>
        </w:rPr>
        <w:t>从一般公共预算拨款收入安排的支出减少</w:t>
      </w:r>
      <w:r>
        <w:rPr>
          <w:rFonts w:hint="eastAsia" w:ascii="TimesNewRoman" w:hAnsi="TimesNewRoman" w:eastAsia="仿宋_GB2312" w:cs="TimesNewRoman"/>
          <w:kern w:val="0"/>
          <w:sz w:val="32"/>
          <w:szCs w:val="32"/>
        </w:rPr>
        <w:t>。</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shd w:val="clear" w:color="auto" w:fill="auto"/>
          <w:lang w:val="en-US" w:eastAsia="zh-CN"/>
        </w:rPr>
        <w:t>383.27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shd w:val="clear" w:color="auto" w:fill="auto"/>
          <w:lang w:val="en-US" w:eastAsia="zh-CN"/>
        </w:rPr>
        <w:t>22.62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shd w:val="clear" w:color="auto" w:fill="auto"/>
          <w:lang w:val="en-US" w:eastAsia="zh-CN"/>
        </w:rPr>
        <w:t>74.61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shd w:val="clear" w:color="auto" w:fill="auto"/>
          <w:lang w:val="en-US" w:eastAsia="zh-CN"/>
        </w:rPr>
        <w:t>4.4</w:t>
      </w:r>
      <w:r>
        <w:rPr>
          <w:rFonts w:hint="eastAsia" w:ascii="TimesNewRoman" w:hAnsi="TimesNewRoman" w:eastAsia="仿宋_GB2312" w:cs="TimesNewRoman"/>
          <w:kern w:val="0"/>
          <w:sz w:val="32"/>
          <w:szCs w:val="32"/>
        </w:rPr>
        <w:t>%；城乡社区支出</w:t>
      </w:r>
      <w:r>
        <w:rPr>
          <w:rFonts w:hint="eastAsia" w:ascii="TimesNewRoman" w:hAnsi="TimesNewRoman" w:eastAsia="仿宋_GB2312" w:cs="TimesNewRoman"/>
          <w:color w:val="auto"/>
          <w:kern w:val="0"/>
          <w:sz w:val="32"/>
          <w:szCs w:val="32"/>
          <w:shd w:val="clear" w:color="auto" w:fill="auto"/>
          <w:lang w:val="en-US" w:eastAsia="zh-CN"/>
        </w:rPr>
        <w:t>1</w:t>
      </w:r>
      <w:r>
        <w:rPr>
          <w:rFonts w:hint="eastAsia" w:ascii="TimesNewRoman" w:hAnsi="TimesNewRoman" w:eastAsia="仿宋_GB2312" w:cs="TimesNewRoman"/>
          <w:kern w:val="0"/>
          <w:sz w:val="32"/>
          <w:szCs w:val="32"/>
          <w:lang w:val="en-US" w:eastAsia="zh-CN"/>
        </w:rPr>
        <w:t>万元，占</w:t>
      </w:r>
      <w:r>
        <w:rPr>
          <w:rFonts w:hint="eastAsia" w:ascii="TimesNewRoman" w:hAnsi="TimesNewRoman" w:eastAsia="仿宋_GB2312" w:cs="TimesNewRoman"/>
          <w:kern w:val="0"/>
          <w:sz w:val="32"/>
          <w:szCs w:val="32"/>
          <w:shd w:val="clear" w:color="auto" w:fill="auto"/>
          <w:lang w:val="en-US" w:eastAsia="zh-CN"/>
        </w:rPr>
        <w:t>0.06</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lang w:val="en-US" w:eastAsia="zh-CN"/>
        </w:rPr>
        <w:t>；自然资源海洋气象等支出</w:t>
      </w:r>
      <w:r>
        <w:rPr>
          <w:rFonts w:hint="eastAsia" w:ascii="TimesNewRoman" w:hAnsi="TimesNewRoman" w:eastAsia="仿宋_GB2312" w:cs="TimesNewRoman"/>
          <w:kern w:val="0"/>
          <w:sz w:val="32"/>
          <w:szCs w:val="32"/>
          <w:shd w:val="clear" w:color="auto" w:fill="auto"/>
          <w:lang w:val="en-US" w:eastAsia="zh-CN"/>
        </w:rPr>
        <w:t>1002.28</w:t>
      </w:r>
      <w:r>
        <w:rPr>
          <w:rFonts w:hint="eastAsia" w:ascii="TimesNewRoman" w:hAnsi="TimesNewRoman" w:eastAsia="仿宋_GB2312" w:cs="TimesNewRoman"/>
          <w:kern w:val="0"/>
          <w:sz w:val="32"/>
          <w:szCs w:val="32"/>
          <w:lang w:val="en-US" w:eastAsia="zh-CN"/>
        </w:rPr>
        <w:t>万元，占</w:t>
      </w:r>
      <w:r>
        <w:rPr>
          <w:rFonts w:hint="eastAsia" w:ascii="TimesNewRoman" w:hAnsi="TimesNewRoman" w:eastAsia="仿宋_GB2312" w:cs="TimesNewRoman"/>
          <w:kern w:val="0"/>
          <w:sz w:val="32"/>
          <w:szCs w:val="32"/>
          <w:shd w:val="clear" w:color="auto" w:fill="auto"/>
          <w:lang w:val="en-US" w:eastAsia="zh-CN"/>
        </w:rPr>
        <w:t>59.14</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shd w:val="clear" w:color="auto" w:fill="auto"/>
          <w:lang w:val="en-US" w:eastAsia="zh-CN"/>
        </w:rPr>
        <w:t>233.49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shd w:val="clear" w:color="auto" w:fill="auto"/>
          <w:lang w:val="en-US" w:eastAsia="zh-CN"/>
        </w:rPr>
        <w:t>13.78</w:t>
      </w:r>
      <w:r>
        <w:rPr>
          <w:rFonts w:hint="eastAsia" w:ascii="TimesNewRoman" w:hAnsi="TimesNewRoman" w:eastAsia="仿宋_GB2312" w:cs="TimesNewRoman"/>
          <w:kern w:val="0"/>
          <w:sz w:val="32"/>
          <w:szCs w:val="32"/>
        </w:rPr>
        <w:t>%。</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kern w:val="0"/>
          <w:sz w:val="32"/>
          <w:szCs w:val="32"/>
          <w:shd w:val="clear" w:color="auto" w:fill="auto"/>
        </w:rPr>
        <w:t>1、</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（类）行政事业单位养老支出（款）行政单位离退休（项）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190.94</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18.36</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10.64</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增加退休人员提租补贴</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kern w:val="0"/>
          <w:sz w:val="32"/>
          <w:szCs w:val="32"/>
          <w:shd w:val="clear" w:color="auto" w:fill="auto"/>
        </w:rPr>
        <w:t>2、</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（类）行政事业单位养老支出（款）机关事业单位基本养老保险缴费支出（项）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126.59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2.19</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1.76</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人员工资变动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b w:val="0"/>
          <w:bCs w:val="0"/>
          <w:kern w:val="0"/>
          <w:sz w:val="32"/>
          <w:szCs w:val="32"/>
          <w:shd w:val="clear" w:color="FFFFFF" w:fill="D9D9D9"/>
        </w:rPr>
      </w:pPr>
      <w:r>
        <w:rPr>
          <w:rFonts w:hint="eastAsia" w:ascii="TimesNewRoman" w:hAnsi="TimesNewRoman" w:eastAsia="仿宋_GB2312" w:cs="TimesNewRoman"/>
          <w:b w:val="0"/>
          <w:bCs w:val="0"/>
          <w:kern w:val="0"/>
          <w:sz w:val="32"/>
          <w:szCs w:val="32"/>
          <w:shd w:val="clear" w:color="auto" w:fill="auto"/>
          <w:lang w:val="en-US" w:eastAsia="zh-CN"/>
        </w:rPr>
        <w:t>3</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（类）行政事业单位养老支出（款）机关事业单位职业年金缴费支出（项）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63.29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1.09</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1.75</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b w:val="0"/>
          <w:bCs w:val="0"/>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人员工资变动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4</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社会保障和就业支出</w:t>
      </w:r>
      <w:r>
        <w:rPr>
          <w:rFonts w:hint="eastAsia" w:ascii="仿宋_GB2312" w:hAnsi="仿宋" w:eastAsia="仿宋_GB2312"/>
          <w:b w:val="0"/>
          <w:bCs w:val="0"/>
          <w:sz w:val="32"/>
          <w:szCs w:val="32"/>
          <w:shd w:val="clear" w:color="auto" w:fill="auto"/>
        </w:rPr>
        <w:t>（类）其他社会保障和就业支出（款）其他社会保障和就业支出（项）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2.44</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0.01</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0.41</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人员工资变动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5</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（类）行政事业单位医疗（款）行政单位医疗（项）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47.76</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0.88</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1.88</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人员工资变动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6</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卫生健康支出</w:t>
      </w:r>
      <w:r>
        <w:rPr>
          <w:rFonts w:hint="eastAsia" w:ascii="仿宋_GB2312" w:hAnsi="仿宋" w:eastAsia="仿宋_GB2312"/>
          <w:b w:val="0"/>
          <w:bCs w:val="0"/>
          <w:sz w:val="32"/>
          <w:szCs w:val="32"/>
          <w:shd w:val="clear" w:color="auto" w:fill="auto"/>
        </w:rPr>
        <w:t>（类）行政事业单位医疗（款）公务员医疗补助（项）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26.85</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0.95</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3.67</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人员工资变动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rPr>
      </w:pPr>
      <w:r>
        <w:rPr>
          <w:rFonts w:hint="eastAsia" w:ascii="TimesNewRoman" w:hAnsi="TimesNewRoman" w:eastAsia="仿宋_GB2312" w:cs="TimesNewRoman"/>
          <w:b w:val="0"/>
          <w:bCs w:val="0"/>
          <w:kern w:val="0"/>
          <w:sz w:val="32"/>
          <w:szCs w:val="32"/>
          <w:shd w:val="clear" w:color="auto" w:fill="auto"/>
          <w:lang w:val="en-US" w:eastAsia="zh-CN"/>
        </w:rPr>
        <w:t>7</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kern w:val="2"/>
          <w:sz w:val="32"/>
          <w:szCs w:val="32"/>
          <w:shd w:val="clear" w:color="auto" w:fill="auto"/>
        </w:rPr>
        <w:t>城乡社区支出</w:t>
      </w:r>
      <w:r>
        <w:rPr>
          <w:rFonts w:hint="eastAsia" w:ascii="仿宋_GB2312" w:hAnsi="仿宋" w:eastAsia="仿宋_GB2312"/>
          <w:b w:val="0"/>
          <w:bCs/>
          <w:sz w:val="32"/>
          <w:szCs w:val="32"/>
          <w:shd w:val="clear" w:color="auto" w:fill="auto"/>
        </w:rPr>
        <w:t>（类）其他城乡社区支出（款）其他城乡社区支出（项）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年预算减少</w:t>
      </w:r>
      <w:r>
        <w:rPr>
          <w:rFonts w:hint="eastAsia" w:ascii="TimesNewRoman" w:hAnsi="TimesNewRoman" w:eastAsia="仿宋_GB2312" w:cs="TimesNewRoman"/>
          <w:kern w:val="0"/>
          <w:sz w:val="32"/>
          <w:szCs w:val="32"/>
          <w:shd w:val="clear" w:color="auto" w:fill="auto"/>
          <w:lang w:val="en-US" w:eastAsia="zh-CN"/>
        </w:rPr>
        <w:t>3177.04</w:t>
      </w:r>
      <w:r>
        <w:rPr>
          <w:rFonts w:hint="eastAsia" w:ascii="TimesNewRoman" w:hAnsi="TimesNewRoman" w:eastAsia="仿宋_GB2312" w:cs="TimesNewRoman"/>
          <w:kern w:val="0"/>
          <w:sz w:val="32"/>
          <w:szCs w:val="32"/>
          <w:shd w:val="clear" w:color="auto" w:fill="auto"/>
        </w:rPr>
        <w:t>万元，下降</w:t>
      </w:r>
      <w:r>
        <w:rPr>
          <w:rFonts w:hint="eastAsia" w:ascii="TimesNewRoman" w:hAnsi="TimesNewRoman" w:eastAsia="仿宋_GB2312" w:cs="TimesNewRoman"/>
          <w:kern w:val="0"/>
          <w:sz w:val="32"/>
          <w:szCs w:val="32"/>
          <w:shd w:val="clear" w:color="auto" w:fill="auto"/>
          <w:lang w:val="en-US" w:eastAsia="zh-CN"/>
        </w:rPr>
        <w:t>99.97</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cs="Times New Roman"/>
          <w:kern w:val="2"/>
          <w:sz w:val="32"/>
          <w:szCs w:val="32"/>
          <w:highlight w:val="none"/>
          <w:shd w:val="clear" w:color="auto" w:fill="auto"/>
        </w:rPr>
        <w:t>“淮北市中湖矿山地质环境治理PPP项目”</w:t>
      </w:r>
      <w:r>
        <w:rPr>
          <w:rFonts w:hint="eastAsia" w:ascii="仿宋_GB2312" w:hAnsi="仿宋" w:eastAsia="仿宋_GB2312" w:cs="Times New Roman"/>
          <w:kern w:val="2"/>
          <w:sz w:val="32"/>
          <w:szCs w:val="32"/>
          <w:highlight w:val="none"/>
          <w:shd w:val="clear" w:color="auto" w:fill="auto"/>
          <w:lang w:eastAsia="zh-CN"/>
        </w:rPr>
        <w:t>从一般公共预算拨款收入安排的支出减少</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仿宋_GB2312" w:hAnsi="仿宋" w:eastAsia="仿宋_GB2312"/>
          <w:sz w:val="32"/>
          <w:szCs w:val="32"/>
          <w:lang w:eastAsia="zh-CN"/>
        </w:rPr>
      </w:pPr>
      <w:r>
        <w:rPr>
          <w:rFonts w:hint="eastAsia" w:ascii="TimesNewRoman" w:hAnsi="TimesNewRoman" w:eastAsia="仿宋_GB2312" w:cs="TimesNewRoman"/>
          <w:b w:val="0"/>
          <w:bCs w:val="0"/>
          <w:kern w:val="0"/>
          <w:sz w:val="32"/>
          <w:szCs w:val="32"/>
          <w:shd w:val="clear" w:color="auto" w:fill="auto"/>
          <w:lang w:val="en-US" w:eastAsia="zh-CN"/>
        </w:rPr>
        <w:t>8</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（类）自然资源事务（款）行政运行（项）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601.02</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3.67</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0.61</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sz w:val="32"/>
          <w:szCs w:val="32"/>
          <w:lang w:eastAsia="zh-CN"/>
        </w:rPr>
        <w:t>增加提租补贴及人员变动。</w:t>
      </w:r>
    </w:p>
    <w:p>
      <w:pPr>
        <w:ind w:firstLine="640" w:firstLineChars="200"/>
        <w:rPr>
          <w:rFonts w:hint="eastAsia" w:ascii="仿宋_GB2312" w:hAnsi="仿宋" w:eastAsia="仿宋_GB2312"/>
          <w:color w:val="auto"/>
          <w:sz w:val="32"/>
          <w:szCs w:val="32"/>
          <w:lang w:eastAsia="zh-CN"/>
        </w:rPr>
      </w:pPr>
      <w:r>
        <w:rPr>
          <w:rFonts w:hint="eastAsia" w:ascii="TimesNewRoman" w:hAnsi="TimesNewRoman" w:eastAsia="仿宋_GB2312" w:cs="TimesNewRoman"/>
          <w:b w:val="0"/>
          <w:bCs w:val="0"/>
          <w:kern w:val="0"/>
          <w:sz w:val="32"/>
          <w:szCs w:val="32"/>
          <w:shd w:val="clear" w:color="auto" w:fill="auto"/>
          <w:lang w:val="en-US" w:eastAsia="zh-CN"/>
        </w:rPr>
        <w:t>9</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自然资源海洋气象等支出</w:t>
      </w:r>
      <w:r>
        <w:rPr>
          <w:rFonts w:hint="eastAsia" w:ascii="仿宋_GB2312" w:hAnsi="仿宋" w:eastAsia="仿宋_GB2312"/>
          <w:b w:val="0"/>
          <w:bCs w:val="0"/>
          <w:sz w:val="32"/>
          <w:szCs w:val="32"/>
          <w:shd w:val="clear" w:color="auto" w:fill="auto"/>
        </w:rPr>
        <w:t>（类）自然资源事务（款）事业运行（项）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401.27</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eastAsia="zh-CN"/>
        </w:rPr>
        <w:t>减少</w:t>
      </w:r>
      <w:r>
        <w:rPr>
          <w:rFonts w:hint="eastAsia" w:ascii="TimesNewRoman" w:hAnsi="TimesNewRoman" w:eastAsia="仿宋_GB2312" w:cs="TimesNewRoman"/>
          <w:kern w:val="0"/>
          <w:sz w:val="32"/>
          <w:szCs w:val="32"/>
          <w:shd w:val="clear" w:color="auto" w:fill="auto"/>
          <w:lang w:val="en-US" w:eastAsia="zh-CN"/>
        </w:rPr>
        <w:t>27.31</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shd w:val="clear" w:color="auto" w:fill="auto"/>
          <w:lang w:eastAsia="zh-CN"/>
        </w:rPr>
        <w:t>下降</w:t>
      </w:r>
      <w:r>
        <w:rPr>
          <w:rFonts w:hint="eastAsia" w:ascii="TimesNewRoman" w:hAnsi="TimesNewRoman" w:eastAsia="仿宋_GB2312" w:cs="TimesNewRoman"/>
          <w:kern w:val="0"/>
          <w:sz w:val="32"/>
          <w:szCs w:val="32"/>
          <w:shd w:val="clear" w:color="auto" w:fill="auto"/>
          <w:lang w:val="en-US" w:eastAsia="zh-CN"/>
        </w:rPr>
        <w:t>6.37</w:t>
      </w:r>
      <w:r>
        <w:rPr>
          <w:rFonts w:hint="eastAsia" w:ascii="TimesNewRoman" w:hAnsi="TimesNewRoman" w:eastAsia="仿宋_GB2312" w:cs="TimesNewRoman"/>
          <w:kern w:val="0"/>
          <w:sz w:val="32"/>
          <w:szCs w:val="32"/>
          <w:shd w:val="clear" w:color="auto" w:fill="auto"/>
        </w:rPr>
        <w:t>%，原因主要是</w:t>
      </w:r>
      <w:r>
        <w:rPr>
          <w:rFonts w:hint="eastAsia" w:ascii="仿宋_GB2312" w:hAnsi="仿宋" w:eastAsia="仿宋_GB2312"/>
          <w:color w:val="auto"/>
          <w:sz w:val="32"/>
          <w:szCs w:val="32"/>
          <w:lang w:eastAsia="zh-CN"/>
        </w:rPr>
        <w:t>人员变动。</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10</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（类）住房改革支出（款）住房公积金（项）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140.09</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22.28</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18.91</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公积金基数调整及人员变动</w:t>
      </w:r>
      <w:r>
        <w:rPr>
          <w:rFonts w:hint="eastAsia" w:ascii="TimesNewRoman" w:hAnsi="TimesNewRoman" w:eastAsia="仿宋_GB2312" w:cs="TimesNewRoman"/>
          <w:kern w:val="0"/>
          <w:sz w:val="32"/>
          <w:szCs w:val="32"/>
          <w:shd w:val="clear" w:color="auto" w:fill="auto"/>
        </w:rPr>
        <w:t>。</w:t>
      </w:r>
    </w:p>
    <w:p>
      <w:pPr>
        <w:ind w:firstLine="640" w:firstLineChars="200"/>
        <w:rPr>
          <w:rFonts w:hint="eastAsia" w:ascii="TimesNewRoman" w:hAnsi="TimesNewRoman" w:eastAsia="仿宋_GB2312" w:cs="TimesNewRoman"/>
          <w:kern w:val="0"/>
          <w:sz w:val="32"/>
          <w:szCs w:val="32"/>
          <w:shd w:val="clear" w:color="auto" w:fill="auto"/>
        </w:rPr>
      </w:pPr>
      <w:r>
        <w:rPr>
          <w:rFonts w:hint="eastAsia" w:ascii="TimesNewRoman" w:hAnsi="TimesNewRoman" w:eastAsia="仿宋_GB2312" w:cs="TimesNewRoman"/>
          <w:b w:val="0"/>
          <w:bCs w:val="0"/>
          <w:kern w:val="0"/>
          <w:sz w:val="32"/>
          <w:szCs w:val="32"/>
          <w:shd w:val="clear" w:color="auto" w:fill="auto"/>
          <w:lang w:val="en-US" w:eastAsia="zh-CN"/>
        </w:rPr>
        <w:t>11</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w:t>
      </w:r>
      <w:r>
        <w:rPr>
          <w:rFonts w:hint="eastAsia" w:ascii="仿宋_GB2312" w:hAnsi="仿宋" w:eastAsia="仿宋_GB2312"/>
          <w:b w:val="0"/>
          <w:bCs w:val="0"/>
          <w:sz w:val="32"/>
          <w:szCs w:val="32"/>
          <w:shd w:val="clear" w:color="auto" w:fill="auto"/>
          <w:lang w:eastAsia="zh-CN"/>
        </w:rPr>
        <w:t>提租</w:t>
      </w:r>
      <w:r>
        <w:rPr>
          <w:rFonts w:hint="eastAsia" w:ascii="仿宋_GB2312" w:hAnsi="仿宋" w:eastAsia="仿宋_GB2312"/>
          <w:b w:val="0"/>
          <w:bCs w:val="0"/>
          <w:sz w:val="32"/>
          <w:szCs w:val="32"/>
          <w:shd w:val="clear" w:color="auto" w:fill="auto"/>
        </w:rPr>
        <w:t>补贴（项）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35.02</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35.02</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100</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增加提租补贴</w:t>
      </w:r>
      <w:r>
        <w:rPr>
          <w:rFonts w:hint="eastAsia" w:ascii="TimesNewRoman" w:hAnsi="TimesNewRoman" w:eastAsia="仿宋_GB2312" w:cs="TimesNewRoman"/>
          <w:kern w:val="0"/>
          <w:sz w:val="32"/>
          <w:szCs w:val="32"/>
          <w:shd w:val="clear" w:color="auto" w:fill="auto"/>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 w:val="0"/>
          <w:bCs w:val="0"/>
          <w:kern w:val="0"/>
          <w:sz w:val="32"/>
          <w:szCs w:val="32"/>
          <w:shd w:val="clear" w:color="auto" w:fill="auto"/>
          <w:lang w:val="en-US" w:eastAsia="zh-CN"/>
        </w:rPr>
        <w:t>12</w:t>
      </w:r>
      <w:r>
        <w:rPr>
          <w:rFonts w:hint="eastAsia" w:ascii="TimesNewRoman" w:hAnsi="TimesNewRoman" w:eastAsia="仿宋_GB2312" w:cs="TimesNewRoman"/>
          <w:b w:val="0"/>
          <w:bCs w:val="0"/>
          <w:kern w:val="0"/>
          <w:sz w:val="32"/>
          <w:szCs w:val="32"/>
          <w:shd w:val="clear" w:color="auto" w:fill="auto"/>
        </w:rPr>
        <w:t>、</w:t>
      </w:r>
      <w:r>
        <w:rPr>
          <w:rFonts w:hint="eastAsia" w:ascii="仿宋_GB2312" w:hAnsi="仿宋" w:eastAsia="仿宋_GB2312" w:cs="Times New Roman"/>
          <w:b w:val="0"/>
          <w:bCs w:val="0"/>
          <w:kern w:val="2"/>
          <w:sz w:val="32"/>
          <w:szCs w:val="32"/>
          <w:shd w:val="clear" w:color="auto" w:fill="auto"/>
        </w:rPr>
        <w:t>住房保障支出</w:t>
      </w:r>
      <w:r>
        <w:rPr>
          <w:rFonts w:hint="eastAsia" w:ascii="仿宋_GB2312" w:hAnsi="仿宋" w:eastAsia="仿宋_GB2312"/>
          <w:b w:val="0"/>
          <w:bCs w:val="0"/>
          <w:sz w:val="32"/>
          <w:szCs w:val="32"/>
          <w:shd w:val="clear" w:color="auto" w:fill="auto"/>
        </w:rPr>
        <w:t>（类）住房改革支出（款）购房补贴（项）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58.37</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年预算增加</w:t>
      </w:r>
      <w:r>
        <w:rPr>
          <w:rFonts w:hint="eastAsia" w:ascii="TimesNewRoman" w:hAnsi="TimesNewRoman" w:eastAsia="仿宋_GB2312" w:cs="TimesNewRoman"/>
          <w:kern w:val="0"/>
          <w:sz w:val="32"/>
          <w:szCs w:val="32"/>
          <w:shd w:val="clear" w:color="auto" w:fill="auto"/>
          <w:lang w:val="en-US" w:eastAsia="zh-CN"/>
        </w:rPr>
        <w:t>9.28</w:t>
      </w:r>
      <w:r>
        <w:rPr>
          <w:rFonts w:hint="eastAsia" w:ascii="TimesNewRoman" w:hAnsi="TimesNewRoman" w:eastAsia="仿宋_GB2312" w:cs="TimesNewRoman"/>
          <w:kern w:val="0"/>
          <w:sz w:val="32"/>
          <w:szCs w:val="32"/>
          <w:shd w:val="clear" w:color="auto" w:fill="auto"/>
        </w:rPr>
        <w:t>万元，增长</w:t>
      </w:r>
      <w:r>
        <w:rPr>
          <w:rFonts w:hint="eastAsia" w:ascii="TimesNewRoman" w:hAnsi="TimesNewRoman" w:eastAsia="仿宋_GB2312" w:cs="TimesNewRoman"/>
          <w:kern w:val="0"/>
          <w:sz w:val="32"/>
          <w:szCs w:val="32"/>
          <w:shd w:val="clear" w:color="auto" w:fill="auto"/>
          <w:lang w:val="en-US" w:eastAsia="zh-CN"/>
        </w:rPr>
        <w:t>18.9</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shd w:val="clear" w:color="auto" w:fill="auto"/>
          <w:lang w:eastAsia="zh-CN"/>
        </w:rPr>
        <w:t>公积金基数调整及人员变动</w:t>
      </w:r>
      <w:r>
        <w:rPr>
          <w:rFonts w:hint="eastAsia" w:ascii="TimesNewRoman" w:hAnsi="TimesNewRoman" w:eastAsia="仿宋_GB2312" w:cs="TimesNewRoman"/>
          <w:kern w:val="0"/>
          <w:sz w:val="32"/>
          <w:szCs w:val="32"/>
          <w:shd w:val="clear" w:color="auto" w:fill="auto"/>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1693.65</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1518.04</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175.61</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1518.04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离休费、退休费、生活补助、医疗费补助、对其他个人和家庭的补助支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175.61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主要包括：办公费、水费、电费、公务用车运行维护费、其他交通费用、其他商品服务支出等。</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2024年政府性基金支出</w:t>
      </w:r>
      <w:r>
        <w:rPr>
          <w:rFonts w:hint="eastAsia" w:ascii="TimesNewRoman" w:hAnsi="TimesNewRoman" w:eastAsia="仿宋_GB2312" w:cs="TimesNewRoman"/>
          <w:kern w:val="0"/>
          <w:sz w:val="32"/>
          <w:szCs w:val="32"/>
          <w:lang w:val="en-US" w:eastAsia="zh-CN"/>
        </w:rPr>
        <w:t>1377.64</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281.8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25.72</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eastAsia="zh-CN"/>
        </w:rPr>
        <w:t>项目支出增加</w:t>
      </w:r>
      <w:r>
        <w:rPr>
          <w:rFonts w:hint="eastAsia" w:ascii="TimesNewRoman" w:hAnsi="TimesNewRoman" w:eastAsia="仿宋_GB2312" w:cs="TimesNewRoman"/>
          <w:kern w:val="0"/>
          <w:sz w:val="32"/>
          <w:szCs w:val="32"/>
        </w:rPr>
        <w:t>。具体情况如下：</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w:t>
      </w:r>
      <w:r>
        <w:rPr>
          <w:rFonts w:hint="eastAsia" w:ascii="TimesNewRoman" w:hAnsi="TimesNewRoman" w:eastAsia="仿宋_GB2312" w:cs="TimesNewRoman"/>
          <w:b/>
          <w:kern w:val="0"/>
          <w:sz w:val="32"/>
          <w:szCs w:val="32"/>
          <w:shd w:val="clear" w:color="auto" w:fill="auto"/>
          <w:lang w:eastAsia="zh-CN"/>
        </w:rPr>
        <w:t>城乡社区支出</w:t>
      </w:r>
      <w:r>
        <w:rPr>
          <w:rFonts w:hint="eastAsia" w:ascii="TimesNewRoman" w:hAnsi="TimesNewRoman" w:eastAsia="仿宋_GB2312" w:cs="TimesNewRoman"/>
          <w:b/>
          <w:kern w:val="0"/>
          <w:sz w:val="32"/>
          <w:szCs w:val="32"/>
          <w:shd w:val="clear" w:color="auto" w:fill="auto"/>
        </w:rPr>
        <w:t>（类）</w:t>
      </w:r>
      <w:r>
        <w:rPr>
          <w:rFonts w:hint="eastAsia" w:ascii="TimesNewRoman" w:hAnsi="TimesNewRoman" w:eastAsia="仿宋_GB2312" w:cs="TimesNewRoman"/>
          <w:b/>
          <w:kern w:val="0"/>
          <w:sz w:val="32"/>
          <w:szCs w:val="32"/>
          <w:shd w:val="clear" w:color="auto" w:fill="auto"/>
          <w:lang w:eastAsia="zh-CN"/>
        </w:rPr>
        <w:t>国有土地使用权出让收入安排的支出</w:t>
      </w:r>
      <w:r>
        <w:rPr>
          <w:rFonts w:hint="eastAsia" w:ascii="TimesNewRoman" w:hAnsi="TimesNewRoman" w:eastAsia="仿宋_GB2312" w:cs="TimesNewRoman"/>
          <w:b/>
          <w:kern w:val="0"/>
          <w:sz w:val="32"/>
          <w:szCs w:val="32"/>
          <w:shd w:val="clear" w:color="auto" w:fill="auto"/>
        </w:rPr>
        <w:t>（款）</w:t>
      </w:r>
      <w:r>
        <w:rPr>
          <w:rFonts w:hint="eastAsia" w:ascii="TimesNewRoman" w:hAnsi="TimesNewRoman" w:eastAsia="仿宋_GB2312" w:cs="TimesNewRoman"/>
          <w:b/>
          <w:kern w:val="0"/>
          <w:sz w:val="32"/>
          <w:szCs w:val="32"/>
          <w:shd w:val="clear" w:color="auto" w:fill="auto"/>
          <w:lang w:eastAsia="zh-CN"/>
        </w:rPr>
        <w:t>土地出让业务支出</w:t>
      </w:r>
      <w:r>
        <w:rPr>
          <w:rFonts w:hint="eastAsia" w:ascii="TimesNewRoman" w:hAnsi="TimesNewRoman" w:eastAsia="仿宋_GB2312" w:cs="TimesNewRoman"/>
          <w:b/>
          <w:kern w:val="0"/>
          <w:sz w:val="32"/>
          <w:szCs w:val="32"/>
          <w:shd w:val="clear" w:color="auto" w:fill="auto"/>
        </w:rPr>
        <w:t>（项）</w:t>
      </w:r>
      <w:r>
        <w:rPr>
          <w:rFonts w:hint="eastAsia" w:ascii="TimesNewRoman" w:hAnsi="TimesNewRoman" w:eastAsia="仿宋_GB2312" w:cs="TimesNewRoman"/>
          <w:kern w:val="0"/>
          <w:sz w:val="32"/>
          <w:szCs w:val="32"/>
          <w:shd w:val="clear" w:color="auto" w:fill="auto"/>
        </w:rPr>
        <w:t>202</w:t>
      </w:r>
      <w:r>
        <w:rPr>
          <w:rFonts w:hint="eastAsia" w:ascii="TimesNewRoman" w:hAnsi="TimesNewRoman" w:eastAsia="仿宋_GB2312" w:cs="TimesNewRoman"/>
          <w:kern w:val="0"/>
          <w:sz w:val="32"/>
          <w:szCs w:val="32"/>
          <w:shd w:val="clear" w:color="auto" w:fill="auto"/>
          <w:lang w:val="en-US" w:eastAsia="zh-CN"/>
        </w:rPr>
        <w:t>4</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shd w:val="clear" w:color="auto" w:fill="auto"/>
          <w:lang w:val="en-US" w:eastAsia="zh-CN"/>
        </w:rPr>
        <w:t>1377.64</w:t>
      </w:r>
      <w:r>
        <w:rPr>
          <w:rFonts w:hint="eastAsia" w:ascii="TimesNewRoman" w:hAnsi="TimesNewRoman" w:eastAsia="仿宋_GB2312" w:cs="TimesNewRoman"/>
          <w:kern w:val="0"/>
          <w:sz w:val="32"/>
          <w:szCs w:val="32"/>
          <w:shd w:val="clear" w:color="auto" w:fill="auto"/>
        </w:rPr>
        <w:t>万元，比202</w:t>
      </w:r>
      <w:r>
        <w:rPr>
          <w:rFonts w:hint="eastAsia" w:ascii="TimesNewRoman" w:hAnsi="TimesNewRoman" w:eastAsia="仿宋_GB2312" w:cs="TimesNewRoman"/>
          <w:kern w:val="0"/>
          <w:sz w:val="32"/>
          <w:szCs w:val="32"/>
          <w:shd w:val="clear" w:color="auto" w:fill="auto"/>
          <w:lang w:val="en-US" w:eastAsia="zh-CN"/>
        </w:rPr>
        <w:t>3</w:t>
      </w:r>
      <w:r>
        <w:rPr>
          <w:rFonts w:hint="eastAsia" w:ascii="TimesNewRoman" w:hAnsi="TimesNewRoman" w:eastAsia="仿宋_GB2312" w:cs="TimesNewRoman"/>
          <w:kern w:val="0"/>
          <w:sz w:val="32"/>
          <w:szCs w:val="32"/>
          <w:shd w:val="clear" w:color="auto" w:fill="auto"/>
        </w:rPr>
        <w:t>年预算</w:t>
      </w:r>
      <w:r>
        <w:rPr>
          <w:rFonts w:hint="eastAsia" w:ascii="TimesNewRoman" w:hAnsi="TimesNewRoman" w:eastAsia="仿宋_GB2312" w:cs="TimesNewRoman"/>
          <w:kern w:val="0"/>
          <w:sz w:val="32"/>
          <w:szCs w:val="32"/>
        </w:rPr>
        <w:t>增加</w:t>
      </w:r>
      <w:r>
        <w:rPr>
          <w:rFonts w:hint="eastAsia" w:ascii="TimesNewRoman" w:hAnsi="TimesNewRoman" w:eastAsia="仿宋_GB2312" w:cs="TimesNewRoman"/>
          <w:kern w:val="0"/>
          <w:sz w:val="32"/>
          <w:szCs w:val="32"/>
          <w:lang w:val="en-US" w:eastAsia="zh-CN"/>
        </w:rPr>
        <w:t>281.8</w:t>
      </w:r>
      <w:r>
        <w:rPr>
          <w:rFonts w:hint="eastAsia" w:ascii="TimesNewRoman" w:hAnsi="TimesNewRoman" w:eastAsia="仿宋_GB2312" w:cs="TimesNewRoman"/>
          <w:kern w:val="0"/>
          <w:sz w:val="32"/>
          <w:szCs w:val="32"/>
          <w:shd w:val="clear" w:color="auto" w:fill="auto"/>
        </w:rPr>
        <w:t>万元，</w:t>
      </w:r>
      <w:r>
        <w:rPr>
          <w:rFonts w:hint="eastAsia" w:ascii="TimesNewRoman" w:hAnsi="TimesNewRoman" w:eastAsia="仿宋_GB2312" w:cs="TimesNewRoman"/>
          <w:kern w:val="0"/>
          <w:sz w:val="32"/>
          <w:szCs w:val="32"/>
        </w:rPr>
        <w:t>增长</w:t>
      </w:r>
      <w:r>
        <w:rPr>
          <w:rFonts w:hint="eastAsia" w:ascii="TimesNewRoman" w:hAnsi="TimesNewRoman" w:eastAsia="仿宋_GB2312" w:cs="TimesNewRoman"/>
          <w:kern w:val="0"/>
          <w:sz w:val="32"/>
          <w:szCs w:val="32"/>
          <w:lang w:val="en-US" w:eastAsia="zh-CN"/>
        </w:rPr>
        <w:t>25.72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shd w:val="clear" w:color="auto" w:fill="auto"/>
        </w:rPr>
        <w:t>，原因主要是</w:t>
      </w:r>
      <w:r>
        <w:rPr>
          <w:rFonts w:hint="eastAsia" w:ascii="TimesNewRoman" w:hAnsi="TimesNewRoman" w:eastAsia="仿宋_GB2312" w:cs="TimesNewRoman"/>
          <w:kern w:val="0"/>
          <w:sz w:val="32"/>
          <w:szCs w:val="32"/>
          <w:lang w:eastAsia="zh-CN"/>
        </w:rPr>
        <w:t>项目支出增加</w:t>
      </w:r>
      <w:r>
        <w:rPr>
          <w:rFonts w:hint="eastAsia" w:ascii="TimesNewRoman" w:hAnsi="TimesNewRoman" w:eastAsia="仿宋_GB2312" w:cs="TimesNewRoman"/>
          <w:kern w:val="0"/>
          <w:sz w:val="32"/>
          <w:szCs w:val="32"/>
          <w:shd w:val="clear" w:color="auto" w:fill="auto"/>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1378.64</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2895.24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67.74</w:t>
      </w:r>
      <w:r>
        <w:rPr>
          <w:rFonts w:hint="eastAsia" w:ascii="TimesNewRoman" w:hAnsi="TimesNewRoman" w:eastAsia="仿宋_GB2312" w:cs="TimesNewRoman"/>
          <w:kern w:val="0"/>
          <w:sz w:val="32"/>
          <w:szCs w:val="32"/>
        </w:rPr>
        <w:t>%，原因主要是</w:t>
      </w:r>
      <w:r>
        <w:rPr>
          <w:rFonts w:hint="eastAsia" w:ascii="仿宋_GB2312" w:hAnsi="仿宋" w:eastAsia="仿宋_GB2312" w:cs="Times New Roman"/>
          <w:kern w:val="2"/>
          <w:sz w:val="32"/>
          <w:szCs w:val="32"/>
          <w:highlight w:val="none"/>
        </w:rPr>
        <w:t>“淮北市中湖矿山地质环境治理PPP项目”</w:t>
      </w:r>
      <w:r>
        <w:rPr>
          <w:rFonts w:hint="eastAsia" w:ascii="仿宋_GB2312" w:hAnsi="仿宋" w:eastAsia="仿宋_GB2312" w:cs="Times New Roman"/>
          <w:kern w:val="2"/>
          <w:sz w:val="32"/>
          <w:szCs w:val="32"/>
          <w:highlight w:val="none"/>
          <w:lang w:eastAsia="zh-CN"/>
        </w:rPr>
        <w:t>从一般公共预算拨款收入安排的支出减少及其他项目支出安排减少</w:t>
      </w:r>
      <w:r>
        <w:rPr>
          <w:rFonts w:hint="eastAsia" w:ascii="TimesNewRoman" w:hAnsi="TimesNewRoman" w:eastAsia="仿宋_GB2312" w:cs="TimesNewRoman"/>
          <w:kern w:val="0"/>
          <w:sz w:val="32"/>
          <w:szCs w:val="32"/>
          <w:shd w:val="clear" w:color="auto" w:fill="auto"/>
        </w:rPr>
        <w:t>。</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1378.64</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1377.64</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2024年预算安排政府采购支出</w:t>
      </w:r>
      <w:r>
        <w:rPr>
          <w:rFonts w:hint="eastAsia" w:ascii="TimesNewRoman" w:hAnsi="TimesNewRoman" w:eastAsia="仿宋_GB2312" w:cs="TimesNewRoman"/>
          <w:kern w:val="0"/>
          <w:sz w:val="32"/>
          <w:szCs w:val="32"/>
          <w:lang w:val="en-US" w:eastAsia="zh-CN"/>
        </w:rPr>
        <w:t>200.1</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308.34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60.64</w:t>
      </w:r>
      <w:r>
        <w:rPr>
          <w:rFonts w:hint="eastAsia" w:ascii="TimesNewRoman" w:hAnsi="TimesNewRoman" w:eastAsia="仿宋_GB2312" w:cs="TimesNewRoman"/>
          <w:kern w:val="0"/>
          <w:sz w:val="32"/>
          <w:szCs w:val="32"/>
        </w:rPr>
        <w:t>%，原因主要是政府采购支出</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200.1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2024年预算安排政府购买服务支出</w:t>
      </w:r>
      <w:r>
        <w:rPr>
          <w:rFonts w:hint="eastAsia" w:ascii="TimesNewRoman" w:hAnsi="TimesNewRoman" w:eastAsia="仿宋_GB2312" w:cs="TimesNewRoman"/>
          <w:kern w:val="0"/>
          <w:sz w:val="32"/>
          <w:szCs w:val="32"/>
          <w:lang w:val="en-US" w:eastAsia="zh-CN"/>
        </w:rPr>
        <w:t>485.77</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3520.47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87.87</w:t>
      </w:r>
      <w:r>
        <w:rPr>
          <w:rFonts w:hint="eastAsia" w:ascii="TimesNewRoman" w:hAnsi="TimesNewRoman" w:eastAsia="仿宋_GB2312" w:cs="TimesNewRoman"/>
          <w:kern w:val="0"/>
          <w:sz w:val="32"/>
          <w:szCs w:val="32"/>
        </w:rPr>
        <w:t>%，原因主要是政府购买服务</w:t>
      </w:r>
      <w:r>
        <w:rPr>
          <w:rFonts w:hint="eastAsia" w:ascii="TimesNewRoman" w:hAnsi="TimesNewRoman" w:eastAsia="仿宋_GB2312" w:cs="TimesNewRoman"/>
          <w:kern w:val="0"/>
          <w:sz w:val="32"/>
          <w:szCs w:val="32"/>
          <w:lang w:eastAsia="zh-CN"/>
        </w:rPr>
        <w:t>项目减少</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eastAsia="zh-CN"/>
        </w:rPr>
        <w:t>单位劳务保障支出</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（1）项目概述。人事代理聘用人员（人事代理）全年工资社保等</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（2）立项依据。人事代理合同</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工资、社会保障缴费（养老、医疗、失业、生育、工伤）等全年人员支出。</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10.68万元。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hAnsi="宋体" w:eastAsia="宋体" w:cs="宋体"/>
                <w:color w:val="000000"/>
                <w:kern w:val="0"/>
                <w:sz w:val="20"/>
                <w:szCs w:val="20"/>
                <w:lang w:eastAsia="zh-CN"/>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lang w:val="en-US" w:eastAsia="zh-CN"/>
              </w:rPr>
              <w:t>1-本级申报项目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eastAsia"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保障人事代理聘用人员（人事代理）全年工资社保等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指标1：人事代理人员</w:t>
            </w:r>
          </w:p>
        </w:tc>
        <w:tc>
          <w:tcPr>
            <w:tcW w:w="4228" w:type="dxa"/>
            <w:gridSpan w:val="2"/>
            <w:tcBorders>
              <w:tl2br w:val="nil"/>
              <w:tr2bl w:val="nil"/>
            </w:tcBorders>
            <w:vAlign w:val="bottom"/>
          </w:tcPr>
          <w:p>
            <w:pPr>
              <w:keepNext w:val="0"/>
              <w:keepLines w:val="0"/>
              <w:widowControl/>
              <w:suppressLineNumbers w:val="0"/>
              <w:jc w:val="left"/>
              <w:textAlignment w:val="bottom"/>
              <w:rPr>
                <w:rFonts w:ascii="等线" w:hAnsi="等线" w:eastAsia="等线" w:cs="等线"/>
                <w:i w:val="0"/>
                <w:color w:val="000000"/>
                <w:kern w:val="2"/>
                <w:sz w:val="22"/>
                <w:szCs w:val="22"/>
                <w:u w:val="none"/>
                <w:lang w:val="en-US" w:eastAsia="zh-CN" w:bidi="ar-SA"/>
              </w:rPr>
            </w:pPr>
            <w:r>
              <w:rPr>
                <w:rFonts w:hint="eastAsia" w:ascii="宋体" w:cs="宋体"/>
                <w:sz w:val="20"/>
                <w:lang w:val="en-US" w:eastAsia="zh-CN"/>
              </w:rPr>
              <w:t>保证人员正常工资社保发放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tabs>
                <w:tab w:val="center" w:pos="1328"/>
              </w:tabs>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ab/>
            </w:r>
            <w:r>
              <w:rPr>
                <w:rFonts w:hint="eastAsia" w:ascii="宋体" w:hAnsi="宋体" w:eastAsia="宋体" w:cs="宋体"/>
                <w:color w:val="000000"/>
                <w:kern w:val="0"/>
                <w:sz w:val="20"/>
                <w:szCs w:val="20"/>
                <w:lang w:eastAsia="zh-CN"/>
              </w:rPr>
              <w:t>经费支出合规性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严格执行相关财经法规、制度等规定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指标1：经费支出时效性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按人设部分核定的工资社保和相关政策及时足额支付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指标1：经费所需成本</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依照合同约定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指标1：经费的经济性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提高社会的经济发展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指标1：经费社会性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维持社会稳定发展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指标1：经费的生态性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维持社会生态平衡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tabs>
                <w:tab w:val="center" w:pos="1328"/>
              </w:tabs>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ab/>
            </w:r>
            <w:r>
              <w:rPr>
                <w:rFonts w:hint="eastAsia" w:ascii="宋体" w:hAnsi="宋体" w:eastAsia="宋体" w:cs="宋体"/>
                <w:color w:val="000000"/>
                <w:kern w:val="0"/>
                <w:sz w:val="20"/>
                <w:szCs w:val="20"/>
                <w:lang w:eastAsia="zh-CN"/>
              </w:rPr>
              <w:t>单位运行可持续影响</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维持单位劳务运行可持续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指标1：人事代理人员满意度</w:t>
            </w:r>
          </w:p>
        </w:tc>
        <w:tc>
          <w:tcPr>
            <w:tcW w:w="4228" w:type="dxa"/>
            <w:gridSpan w:val="2"/>
            <w:tcBorders>
              <w:tl2br w:val="nil"/>
              <w:tr2bl w:val="nil"/>
            </w:tcBorders>
            <w:vAlign w:val="center"/>
          </w:tcPr>
          <w:p>
            <w:pPr>
              <w:jc w:val="left"/>
              <w:rPr>
                <w:rFonts w:hint="eastAsia" w:ascii="宋体" w:cs="宋体" w:eastAsiaTheme="minorEastAsia"/>
                <w:sz w:val="20"/>
                <w:lang w:val="en-US" w:eastAsia="zh-CN"/>
              </w:rPr>
            </w:pPr>
            <w:r>
              <w:rPr>
                <w:rFonts w:hint="eastAsia" w:ascii="宋体" w:cs="宋体"/>
                <w:sz w:val="20"/>
              </w:rPr>
              <w:t>≥100</w:t>
            </w:r>
            <w:r>
              <w:rPr>
                <w:rFonts w:hint="eastAsia" w:ascii="宋体" w:cs="宋体"/>
                <w:sz w:val="20"/>
                <w:lang w:val="en-US" w:eastAsia="zh-CN"/>
              </w:rPr>
              <w:t>%</w:t>
            </w:r>
          </w:p>
        </w:tc>
      </w:tr>
    </w:tbl>
    <w:p/>
    <w:p>
      <w:pPr>
        <w:ind w:firstLine="420" w:firstLineChars="200"/>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2、“办公楼运行维护费”项目。</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包括办公楼电费、物业管理费，水费、维修维护。</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（2）立项依据。淮行管[2011]8号</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（5）项目内容。办公产生的水电费（办公楼水电费）、物业管理费</w:t>
      </w:r>
      <w:r>
        <w:rPr>
          <w:rFonts w:hint="eastAsia" w:ascii="TimesNewRoman" w:hAnsi="TimesNewRoman" w:eastAsia="仿宋_GB2312" w:cs="TimesNewRoman"/>
          <w:kern w:val="0"/>
          <w:sz w:val="32"/>
          <w:szCs w:val="32"/>
          <w:lang w:eastAsia="zh-CN"/>
        </w:rPr>
        <w:t>及维修维护的费用</w:t>
      </w:r>
      <w:r>
        <w:rPr>
          <w:rFonts w:hint="eastAsia" w:ascii="TimesNewRoman" w:hAnsi="TimesNewRoman" w:eastAsia="仿宋_GB2312" w:cs="TimesNewRoman"/>
          <w:kern w:val="0"/>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48万元。</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办公楼运行维护费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cs="宋体"/>
                <w:sz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lang w:val="en-US" w:eastAsia="zh-CN"/>
              </w:rPr>
              <w:t>1-本级申报项目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eastAsia" w:eastAsiaTheme="minorEastAsia"/>
                <w:lang w:val="en-US" w:eastAsia="zh-CN"/>
              </w:rPr>
            </w:pPr>
            <w:r>
              <w:rPr>
                <w:rFonts w:hint="eastAsia" w:ascii="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办公大楼运行费用，保障日常运转需要。</w:t>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r>
              <w:rPr>
                <w:rFonts w:hint="eastAsia" w:ascii="宋体" w:cs="宋体"/>
                <w:sz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指标1：服务人员数量</w:t>
            </w:r>
          </w:p>
        </w:tc>
        <w:tc>
          <w:tcPr>
            <w:tcW w:w="4228" w:type="dxa"/>
            <w:gridSpan w:val="2"/>
            <w:tcBorders>
              <w:tl2br w:val="nil"/>
              <w:tr2bl w:val="nil"/>
            </w:tcBorders>
            <w:vAlign w:val="center"/>
          </w:tcPr>
          <w:p>
            <w:pPr>
              <w:jc w:val="left"/>
              <w:rPr>
                <w:rFonts w:hint="default" w:ascii="宋体" w:cs="宋体" w:eastAsiaTheme="minorEastAsia"/>
                <w:sz w:val="20"/>
                <w:lang w:val="en-US" w:eastAsia="zh-CN"/>
              </w:rPr>
            </w:pPr>
            <w:r>
              <w:rPr>
                <w:rFonts w:hint="eastAsia" w:ascii="宋体" w:cs="宋体"/>
                <w:sz w:val="20"/>
              </w:rPr>
              <w:t>≥</w:t>
            </w:r>
            <w:r>
              <w:rPr>
                <w:rFonts w:hint="eastAsia" w:ascii="宋体" w:cs="宋体"/>
                <w:sz w:val="20"/>
                <w:lang w:val="en-US" w:eastAsia="zh-CN"/>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严格执行相关财经法规制度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及时、高质量保障，确保各项任务顺利开展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指标1：办公大楼运行费用</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包括物业费、水电费及零星维修维护费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日常业务需求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指标1：提高服务能力</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及时、高质量保障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指标1：增强生态文明建</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增强群众生态文明意识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指标1：服务单位满意度</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各行业单位满意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指标1：调高工作效率</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各行业单位满意度</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、“自然资源业务费”项目。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一）、办公运行业务费：1、办公费、办公设备维修维护等；2、网络专线费；3、差旅补助；4、因公出国（境）费用；5、公务接待费用；6、全市国土资源管理工作会议、全省工作会议等会议费；7、业务知识竞赛、读书演讲比赛费用；8、党建活动经费；9、事业单位优秀人员考核奖；10、精神文明创建费用；11、用于结对帮扶社区、慰问贫困户和双拥慰问；12、保密工作保障经费；13、普法宣传经费（资料印刷费、律师费、电台等媒体宣传费）；14、专家评审劳务费；①储量动态检测核查专家评审费，②测量管理专家评审费及委托保管费，③地质环境生态修复专家评审费,④自然资源行业领域规划中高级职称评审。15、行政服务中心人员服装费及窗口考核奖（5人窗口考核奖）。17、办公设备购置：更新办公电脑、打印机等。（二）、委托业务费：1、档案加工。2、中心机房维保费。3、审计费。4、节约集约用地经费：①市县2022-2025年城镇低效建设用地再开发专项规划和年度实施计划编制费。②年度批而未供和闲置土地上图编制费。③开展2022年度二三类园区监测统计费。④规划调整补缴土地出让金评估费用。⑤土地节约集约利用综合改革工作。5、市级卫星应用中心站技术服务费。6、淮北市采煤塌陷区基本情况调查经费。7、绿色矿山建设核查费。8、淮北市矿山生态修复技术支撑项目。9、淮北市国土空间总体规划（2021—2035）社会稳定风险评估。</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（一）、财会【2018】3号、 国土资发〔2015〕68号、 皖国土资〔2015〕83号、皖国土资〔2015〕3号、财购[2011]27号、淮行管[2011]8号、淮拥[2018]1号、淮字[2017]40号等；《文明单位和社区结对帮扶》淮文委[2015]9号、《干部教育培训工作条例（试行）》、关于印发《2018年全市干部教育培训计划》的通知 淮干训字[2018]2号、淮国土资[2018]84号、财行[2015]2034号、财行[2016]23号、3.19矿产资源法宣传日、4.22世界地球日、《国土资源部办公厅关于组织开展第49个世界地球日主题宣传活动周的通知》（国土资厅函〔2018〕300号）、6.25全国土地日,3.19矿产资源法宣传日、4.22世界地球日、《国土资源部办公厅关于组织开展第49个世界地球日主题宣传活动周的通知》（国土资厅函〔2018〕300号）、6.25全国土地日《自然资源部办公厅关于组织开展第28个全国“土地日”主题宣传活动周的通知》（自然资办函〔2018〕407号）；《关于汇缴窗口工作人员月度考核奖的通知》、《关于中心窗口人员统一着装有关事项的通知》等。（二）、安徽省自然资源厅关于开展全省城镇低效建设用地再开发专项规划（2022-2025年）和年度实施计划编制工作的通知（皖自然资用函（2022）68号；2021年8月5日研究全市批而未供闲置土地处置和违法用地整改推进工作暨市辖区土地收储出让工作专题会议纪要。安徽省自然资源厅关于开展2022年度产业园区土地集约利用监测统计工作的通知（皖自然资用函（2022）125号。国有建设用地使用权出让地价评估技术规范》（国土资厅发〔2018〕4号）等。</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一）、办公运行业务费：1、办公费、办公设备维修维护等；2、网络专线费；3、差旅补助；4、因公出国（境）费用；5、公务接待费用；6、全市国土资源管理工作会议、全省工作会议等会议费；7、业务知识竞赛、读书演讲比赛费用；8、党建活动经费；9、事业单位优秀人员考核奖；10、精神文明创建费用；11、用于结对帮扶社区、慰问贫困户和双拥慰问；12、保密工作保障经费；13、普法宣传经费（资料印刷费、律师费、电台等媒体宣传费）；14、专家评审劳务费；①储量动态检测核查专家评审费，②测量管理专家评审费及委托保管费，③地质环境生态修复专家评审费,④自然资源行业领域规划中高级职称评审。15、行政服务中心人员服装费及窗口考核奖（5人窗口考核奖）。17、办公设备购置：更新办公电脑、打印机等。（二）、委托业务费：1、档案加工。2、中心机房维保费。3、审计费。4、节约集约用地经费：①市县2022-2025年城镇低效建设用地再开发专项规划和年度实施计划编制费。②年度批而未供和闲置土地上图编制费。③开展2022年度二三类园区监测统计费。④规划调整补缴土地出让金评估费用。⑤土地节约集约利用综合改革工作。5、市级卫星应用中心站技术服务费。6、淮北市采煤塌陷区基本情况调查经费。7、绿色矿山建设核查费。8、淮北市矿山生态修复技术支撑项目。9、淮北市国土空间总体规划（2021—2035）社会稳定风险评估。</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355万元。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自然资源业务费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ascii="宋体" w:cs="宋体"/>
                <w:sz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eastAsia" w:eastAsiaTheme="minorEastAsia"/>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cs="宋体"/>
                <w:sz w:val="20"/>
              </w:rPr>
              <w:t>提高管理科学化、规范化水平，保障各项业务工作的顺利推进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指标1：经费支出完成数量</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根据项目所需数量完成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严格直营相关财经法规、制度等规定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指标1：项目完成及时性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采购及时，质量由保障，不断提高数据统计水平，工作效率，确保各项业务顺利开展。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指标1：项目完成所需成本</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依据合同约定，严格项目立项依据，据实支付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指标1：项目经济性</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维护社会经济稳定，保证经济高质量发展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指标1：提高社会服务能力</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及时，高质量保证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指标1：增强生态文明</w:t>
            </w:r>
            <w:r>
              <w:rPr>
                <w:rFonts w:hint="eastAsia" w:ascii="宋体" w:hAnsi="宋体" w:eastAsia="宋体" w:cs="宋体"/>
                <w:color w:val="000000"/>
                <w:kern w:val="0"/>
                <w:sz w:val="20"/>
                <w:szCs w:val="20"/>
                <w:lang w:eastAsia="zh-CN"/>
              </w:rPr>
              <w:t>建设</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增强生态文明意识，维护生态平稳发展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指标1：自然资源业务稳定发展</w:t>
            </w:r>
          </w:p>
        </w:tc>
        <w:tc>
          <w:tcPr>
            <w:tcW w:w="4228" w:type="dxa"/>
            <w:gridSpan w:val="2"/>
            <w:tcBorders>
              <w:tl2br w:val="nil"/>
              <w:tr2bl w:val="nil"/>
            </w:tcBorders>
            <w:vAlign w:val="center"/>
          </w:tcPr>
          <w:p>
            <w:pPr>
              <w:jc w:val="left"/>
              <w:rPr>
                <w:rFonts w:ascii="宋体" w:cs="宋体"/>
                <w:sz w:val="20"/>
              </w:rPr>
            </w:pPr>
            <w:r>
              <w:rPr>
                <w:rFonts w:hint="eastAsia" w:ascii="宋体" w:cs="宋体"/>
                <w:sz w:val="20"/>
              </w:rPr>
              <w:t>具有可持续影响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指标1：公众满意度</w:t>
            </w:r>
          </w:p>
        </w:tc>
        <w:tc>
          <w:tcPr>
            <w:tcW w:w="4228" w:type="dxa"/>
            <w:gridSpan w:val="2"/>
            <w:tcBorders>
              <w:tl2br w:val="nil"/>
              <w:tr2bl w:val="nil"/>
            </w:tcBorders>
            <w:vAlign w:val="center"/>
          </w:tcPr>
          <w:p>
            <w:pPr>
              <w:jc w:val="left"/>
              <w:rPr>
                <w:rFonts w:hint="default" w:ascii="宋体" w:cs="宋体" w:eastAsiaTheme="minorEastAsia"/>
                <w:sz w:val="20"/>
                <w:lang w:val="en-US" w:eastAsia="zh-CN"/>
              </w:rPr>
            </w:pPr>
            <w:r>
              <w:rPr>
                <w:rFonts w:hint="eastAsia" w:ascii="宋体" w:cs="宋体"/>
                <w:sz w:val="20"/>
              </w:rPr>
              <w:t>＜</w:t>
            </w:r>
            <w:r>
              <w:rPr>
                <w:rFonts w:hint="eastAsia" w:ascii="宋体" w:cs="宋体"/>
                <w:sz w:val="20"/>
                <w:lang w:val="en-US" w:eastAsia="zh-CN"/>
              </w:rPr>
              <w:t>100%</w:t>
            </w:r>
          </w:p>
        </w:tc>
      </w:tr>
    </w:tbl>
    <w:p>
      <w:pPr>
        <w:ind w:firstLine="420" w:firstLineChars="200"/>
      </w:pPr>
    </w:p>
    <w:p>
      <w:pPr>
        <w:numPr>
          <w:ilvl w:val="0"/>
          <w:numId w:val="1"/>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“淮北市稳妥开展农村村民住宅拆迁安置补偿政策专题研究”项目。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根据《安徽省实施</w:t>
      </w:r>
      <w:r>
        <w:rPr>
          <w:rFonts w:hint="eastAsia" w:ascii="TimesNewRoman" w:hAnsi="TimesNewRoman" w:eastAsia="仿宋_GB2312" w:cs="TimesNewRoman"/>
          <w:kern w:val="0"/>
          <w:sz w:val="32"/>
          <w:szCs w:val="32"/>
          <w:lang w:val="en-US" w:eastAsia="zh-CN"/>
        </w:rPr>
        <w:t>&lt;中华人民共和国土地管理法&gt;办法</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2022年12月1日实施</w:t>
      </w:r>
      <w:r>
        <w:rPr>
          <w:rFonts w:hint="eastAsia" w:ascii="TimesNewRoman" w:hAnsi="TimesNewRoman" w:eastAsia="仿宋_GB2312" w:cs="TimesNewRoman"/>
          <w:kern w:val="0"/>
          <w:sz w:val="32"/>
          <w:szCs w:val="32"/>
          <w:lang w:eastAsia="zh-CN"/>
        </w:rPr>
        <w:t>）文件第三十三条第三款规定：“农村村民住宅具体补偿安置办法由设区的市另行规定”，开展淮北市农村村民住宅补偿安置办法制定工作</w:t>
      </w:r>
      <w:r>
        <w:rPr>
          <w:rFonts w:hint="eastAsia" w:ascii="TimesNewRoman" w:hAnsi="TimesNewRoman" w:eastAsia="仿宋_GB2312" w:cs="TimesNewRoman"/>
          <w:kern w:val="0"/>
          <w:sz w:val="32"/>
          <w:szCs w:val="32"/>
          <w:lang w:val="en-US"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《安徽省实施</w:t>
      </w:r>
      <w:r>
        <w:rPr>
          <w:rFonts w:hint="eastAsia" w:ascii="TimesNewRoman" w:hAnsi="TimesNewRoman" w:eastAsia="仿宋_GB2312" w:cs="TimesNewRoman"/>
          <w:kern w:val="0"/>
          <w:sz w:val="32"/>
          <w:szCs w:val="32"/>
          <w:lang w:val="en-US" w:eastAsia="zh-CN"/>
        </w:rPr>
        <w:t>&lt;中华人民共和国土地管理法&gt;办法</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出台淮北</w:t>
      </w:r>
      <w:r>
        <w:rPr>
          <w:rFonts w:hint="eastAsia" w:ascii="TimesNewRoman" w:hAnsi="TimesNewRoman" w:eastAsia="仿宋_GB2312" w:cs="TimesNewRoman"/>
          <w:kern w:val="0"/>
          <w:sz w:val="32"/>
          <w:szCs w:val="32"/>
          <w:lang w:eastAsia="zh-CN"/>
        </w:rPr>
        <w:t>市农村村民住宅补偿安置办法，征收农民住宅有文件依据，保障农民合法权益。</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23</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淮北市稳妥开展农村村民住宅拆迁安置补偿政策专题研究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cs="宋体"/>
                <w:sz w:val="20"/>
                <w:lang w:val="en-US" w:eastAsia="zh-CN"/>
              </w:rPr>
            </w:pPr>
            <w:r>
              <w:rPr>
                <w:rFonts w:hint="eastAsia" w:ascii="宋体" w:cs="宋体"/>
                <w:sz w:val="20"/>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eastAsia="宋体" w:cs="宋体"/>
                <w:sz w:val="20"/>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cs="宋体"/>
                <w:color w:val="000000"/>
                <w:kern w:val="0"/>
                <w:sz w:val="20"/>
                <w:szCs w:val="20"/>
                <w:lang w:eastAsia="zh-CN"/>
              </w:rPr>
              <w:t>完成《淮北市农村村民住宅拆迁安置补偿办法》的制定工作</w:t>
            </w:r>
            <w:r>
              <w:rPr>
                <w:rFonts w:hint="eastAsia" w:ascii="宋体" w:cs="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出台办法</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完成</w:t>
            </w:r>
            <w:r>
              <w:rPr>
                <w:rFonts w:hint="eastAsia" w:ascii="宋体" w:hAnsi="宋体" w:cs="宋体"/>
                <w:color w:val="000000"/>
                <w:kern w:val="0"/>
                <w:sz w:val="20"/>
                <w:szCs w:val="20"/>
                <w:lang w:eastAsia="zh-CN"/>
              </w:rPr>
              <w:t>《淮北市农村村民住宅拆迁安置补偿办法》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项目完成质量</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征迁工作以此办法为依据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项目进度</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1年内完成补偿办法的制定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23万元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保证拆迁工作顺利进行</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合理的经济补偿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cs="宋体"/>
                <w:sz w:val="20"/>
                <w:lang w:eastAsia="zh-CN"/>
              </w:rPr>
              <w:t>保障被征迁农民的合法权益</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eastAsia="zh-CN"/>
              </w:rPr>
              <w:t>保障农民住宅合法权益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促进资源合理利用</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合理利用资源资产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可持续发展能力</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eastAsia="zh-CN"/>
              </w:rPr>
              <w:t>持续发挥作用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群众满意度</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住宅被拆迁农民的满意度。</w:t>
            </w:r>
          </w:p>
        </w:tc>
      </w:tr>
    </w:tbl>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淮北市房地一体三权数据市级汇总数据库项目</w:t>
      </w:r>
      <w:r>
        <w:rPr>
          <w:rFonts w:hint="eastAsia" w:ascii="TimesNewRoman" w:hAnsi="TimesNewRoman" w:eastAsia="仿宋_GB2312" w:cs="TimesNewRoman"/>
          <w:kern w:val="0"/>
          <w:sz w:val="32"/>
          <w:szCs w:val="32"/>
          <w:lang w:eastAsia="zh-CN"/>
        </w:rPr>
        <w:t>”项目。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（1）项目概述。根据上级文件要求调查完成后，要严格按照数据标准对农村宅基地及集体建设用地数据进行整合，经省、市级验收到导入市不动产登记系统，生成数据报盘，上报省登记中心平台。</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（2）立项依据。安徽省自然资源厅</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财政厅</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住房和城乡建设厅</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农业农村厅《关于进一步推进全省房地一体农村宅基地和集体建设用地使用权确权登记颁证工作的通知》皖自然资〔2019〕212号文件。</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（5）项目内容。根据上级文件要求调查完成后，要严格按照数据标准对农村宅基地及集体建设用地数据进行整合，经省、市级验收到导入市不动产登记系统，生成数据报盘，上报省登记中心平台。</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（6）年度预算安排：65.16万元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w:t>
            </w:r>
            <w:r>
              <w:rPr>
                <w:rFonts w:ascii="宋体" w:hAnsi="宋体" w:cs="宋体"/>
                <w:color w:val="000000"/>
                <w:kern w:val="0"/>
                <w:sz w:val="20"/>
                <w:szCs w:val="20"/>
              </w:rPr>
              <w:t>4</w:t>
            </w:r>
            <w:r>
              <w:rPr>
                <w:rFonts w:hint="eastAsia" w:ascii="宋体" w:hAnsi="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淮北市房地一体三权数据市级汇总数据库项目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noWrap w:val="0"/>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ascii="宋体" w:cs="宋体"/>
                <w:sz w:val="20"/>
              </w:rPr>
            </w:pPr>
            <w:r>
              <w:rPr>
                <w:rFonts w:ascii="宋体" w:cs="宋体"/>
                <w:sz w:val="20"/>
              </w:rPr>
              <w:t>65.16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hint="eastAsia"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hint="default" w:ascii="宋体" w:eastAsia="宋体" w:cs="宋体"/>
                <w:sz w:val="20"/>
                <w:lang w:val="en-US" w:eastAsia="zh-CN"/>
              </w:rPr>
            </w:pPr>
            <w:r>
              <w:rPr>
                <w:rFonts w:hint="eastAsia" w:ascii="宋体" w:cs="宋体"/>
                <w:sz w:val="20"/>
                <w:lang w:val="en-US" w:eastAsia="zh-CN"/>
              </w:rPr>
              <w:t>65.16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工程项目进行验收后，支付合同总额60%（65.16万元）</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指标1：淮北市“房地一体”三权数据市级汇总数据库</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指标1：数据库成果</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指标1：项目完成时间</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工程项目进行验收后，支付合同总额60%（65.16万元）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指标1：项目建设费用</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按照合同规定支付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指标1：项目经济效益</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节约成本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指标1：项目社会效益</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提高数据质量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指标1：项目生态效益</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维持社会生态平衡稳定发展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可持续影响指标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指标1：日常业务需求</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对内支撑资源和规划等业务支撑，对外可提供基础地理信息服务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指标1：为民服务</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提升市民满意度</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淮北市天地图数据更新项目</w:t>
      </w:r>
      <w:r>
        <w:rPr>
          <w:rFonts w:hint="eastAsia" w:ascii="TimesNewRoman" w:hAnsi="TimesNewRoman" w:eastAsia="仿宋_GB2312" w:cs="TimesNewRoman"/>
          <w:kern w:val="0"/>
          <w:sz w:val="32"/>
          <w:szCs w:val="32"/>
          <w:lang w:eastAsia="zh-CN"/>
        </w:rPr>
        <w:t>”项目。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（1）项目概述。根据上级文件要求，“天地图”项目建设每年持续数据更新。</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（2）立项依据。《安徽省自然资源厅关于印发安徽省测绘地理信息管理2023年工作要点的通知》《安徽省自然资源厅关于转发自然资源部办公厅关于做好2019年地理信息公共服务平台建设与应用工作的通知》。</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（4）起止时间：2024.01-2024.12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（5）项目内容。根据上级文件要求，“天地图”项目建设每年持续数据更新。</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（6）年度预算安排：27.55万元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w:t>
            </w:r>
            <w:r>
              <w:rPr>
                <w:rFonts w:ascii="宋体" w:hAnsi="宋体" w:cs="宋体"/>
                <w:color w:val="000000"/>
                <w:kern w:val="0"/>
                <w:sz w:val="20"/>
                <w:szCs w:val="20"/>
              </w:rPr>
              <w:t>4</w:t>
            </w:r>
            <w:r>
              <w:rPr>
                <w:rFonts w:hint="eastAsia" w:ascii="宋体" w:hAnsi="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宋体" w:cs="宋体"/>
                <w:sz w:val="20"/>
              </w:rPr>
            </w:pPr>
            <w:r>
              <w:rPr>
                <w:rFonts w:hint="eastAsia" w:ascii="宋体" w:hAnsi="宋体" w:cs="宋体"/>
                <w:color w:val="000000"/>
                <w:kern w:val="0"/>
                <w:sz w:val="20"/>
                <w:szCs w:val="20"/>
              </w:rPr>
              <w:t>淮北市天地图数据更新项目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noWrap w:val="0"/>
            <w:vAlign w:val="center"/>
          </w:tcPr>
          <w:p>
            <w:pPr>
              <w:widowControl/>
              <w:spacing w:line="200" w:lineRule="exact"/>
              <w:jc w:val="righ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更新淮北市天地图数据197平方公里数据，积极推进“天地图”建设更新升级，不断丰富数据资源，为政府各部门、各行业、社会公众提供地理信息在线或离线服务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指标1：数据更新（每年度）</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指标1：数据库成果</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数据通过质检、合格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指标1：项目完成时间</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每年年底前完成数据更新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指标1：委托业务费及其其他经费</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按照合同支付委托业务费，根据实际支出其他经费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指标1：避免重复建设</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更好地挖掘数据资源、信息经济的潜在价值及优势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指标1：数据共享</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推进自然资源信息对社会开放共享，满足经济发展需求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指标1：项目生态效益</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维持社会生态平衡稳定发展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指标1：持续性更新数据</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每年进行基础数据更新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指标1：为民服务</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更新天地图，提升市民满意度</w:t>
            </w:r>
          </w:p>
        </w:tc>
      </w:tr>
    </w:tbl>
    <w:p>
      <w:pPr>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基础数据更新</w:t>
      </w:r>
      <w:r>
        <w:rPr>
          <w:rFonts w:hint="eastAsia" w:ascii="TimesNewRoman" w:hAnsi="TimesNewRoman" w:eastAsia="仿宋_GB2312" w:cs="TimesNewRoman"/>
          <w:kern w:val="0"/>
          <w:sz w:val="32"/>
          <w:szCs w:val="32"/>
          <w:lang w:eastAsia="zh-CN"/>
        </w:rPr>
        <w:t>”项目。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（1）项目概述。根据上级文件要求，加大1:500、1:1000、1:2000国家基本比例尺地图、影像图和数字化产品的测制和更新工作，为服务自然资源“两统一”管理和经济社会发展提供基础地理信息保障。</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（2）立项依据。《基础测绘条例》、《安徽省自然资源厅关于印发安徽省测绘地理信息管理2023年工作要点的通知》。</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4.01-2024.12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（5）项目内容。根据上级文件要求，加大1:500、1:1000、1:2000国家基本比例尺地图、影像图和数字化产品的测制和更新工作，为服务自然资源“两统一”管理和经济社会发展提供基础地理信息保障。。</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（6）年度预算安排：28.60万元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w:t>
            </w:r>
            <w:r>
              <w:rPr>
                <w:rFonts w:ascii="宋体" w:hAnsi="宋体" w:cs="宋体"/>
                <w:color w:val="000000"/>
                <w:kern w:val="0"/>
                <w:sz w:val="20"/>
                <w:szCs w:val="20"/>
              </w:rPr>
              <w:t>4</w:t>
            </w:r>
            <w:r>
              <w:rPr>
                <w:rFonts w:hint="eastAsia" w:ascii="宋体" w:hAnsi="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基础数据更新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201-淮北市自然资源和规划局</w:t>
            </w:r>
          </w:p>
        </w:tc>
        <w:tc>
          <w:tcPr>
            <w:tcW w:w="1848"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项目资金</w:t>
            </w:r>
          </w:p>
          <w:p>
            <w:pPr>
              <w:widowControl/>
              <w:jc w:val="center"/>
              <w:textAlignment w:val="center"/>
              <w:rPr>
                <w:rFonts w:ascii="宋体" w:cs="宋体"/>
                <w:sz w:val="20"/>
              </w:rPr>
            </w:pPr>
            <w:r>
              <w:rPr>
                <w:rFonts w:hint="eastAsia" w:ascii="宋体" w:hAnsi="宋体" w:cs="宋体"/>
                <w:color w:val="000000"/>
                <w:kern w:val="0"/>
                <w:sz w:val="20"/>
                <w:szCs w:val="20"/>
              </w:rPr>
              <w:t>（万元）</w:t>
            </w: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noWrap w:val="0"/>
            <w:vAlign w:val="center"/>
          </w:tcPr>
          <w:p>
            <w:pPr>
              <w:widowControl/>
              <w:spacing w:line="200" w:lineRule="exact"/>
              <w:jc w:val="righ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目标</w:t>
            </w:r>
          </w:p>
        </w:tc>
        <w:tc>
          <w:tcPr>
            <w:tcW w:w="8582" w:type="dxa"/>
            <w:gridSpan w:val="6"/>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加大1:500、1:1000、1:2000国家基本比例尺地图、影像图和数字化产品的测制和更新工作，为服务自然资源“两统一”管理和经济社会发展提供基础地理信息保障。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绩</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效</w:t>
            </w:r>
          </w:p>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w:t>
            </w:r>
          </w:p>
          <w:p>
            <w:pPr>
              <w:widowControl/>
              <w:jc w:val="center"/>
              <w:textAlignment w:val="center"/>
              <w:rPr>
                <w:rFonts w:ascii="宋体" w:cs="宋体"/>
                <w:sz w:val="20"/>
              </w:rPr>
            </w:pP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指标1：数据更新（每年度）</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指标1：数据库成果</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数据通过质检、合格，完成1:500、1:1000、1:2000国家基本比例尺地图、影像图和数字化产品的测制和更新工作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指标1：项目完成时间</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每年年底前完成数据更新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指标1：委托业务费及其其他经费</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按照合同支付委托业务费，根据实际支出其他经费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指标1：避免重复建设</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建立全市统一，权威的基础数据更新工作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指标1：数据共享</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推进自然资源信息对社会开放共享，满足经济发展需求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生态效益指标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指标1：项目生态效益</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维持社会生态平衡稳定发展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指标1：日常业务需求</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对内支撑资源资源和规划等业务支撑，对外可提供基础地理信息服务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2872" w:type="dxa"/>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指标1：提高工作效率</w:t>
            </w:r>
          </w:p>
        </w:tc>
        <w:tc>
          <w:tcPr>
            <w:tcW w:w="4228" w:type="dxa"/>
            <w:gridSpan w:val="2"/>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通过数据更新满足测绘、土地利用、执法、城市规划等部门日常管理需要</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8、“淮北市国土空间生态修复规划（2021-2035年）”项目。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落实省委、省政府重大决策部署和上位规划的要求，按程序通过公开招标方式确定具有国土空间生态修复规划与相关规划编制经验的技术单位编制市级国土空间生态修复规划。对全市基础资料和规划进行全面整理，核实、修正；经专家审查同意后，形成编制文本，图集，形成数据库。经上报市规委会审批同意后印发。2022年已按合同设立要求支付。</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安徽省国土空间生态修复规划编制工作领导小组办公室《关于印发安徽省国土空间生态修复规划（2021-2035年）编制工作方案的通知》（皖修规办〔2021〕1号）要求，组织实施编制规划。安徽省自然资源厅关于开展市、县国土空间生态修复规划编制工作的通知（皖自然资修函〔2022〕29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4.06</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在全市国土调查基础上</w:t>
      </w:r>
      <w:r>
        <w:rPr>
          <w:rFonts w:hint="eastAsia" w:ascii="TimesNewRoman" w:hAnsi="TimesNewRoman" w:eastAsia="仿宋_GB2312" w:cs="TimesNewRoman"/>
          <w:kern w:val="0"/>
          <w:sz w:val="32"/>
          <w:szCs w:val="32"/>
          <w:lang w:val="en-US" w:eastAsia="zh-CN"/>
        </w:rPr>
        <w:t>开展基础评价，谋划总体布局，确定生态修复重点区域，确立规划目标，部署重大工程。</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109.2</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rPr>
              <w:t>淮北市国土空间生态修复规划（2021-2035年）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ascii="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lang w:eastAsia="zh-CN"/>
              </w:rPr>
              <w:t>通过专家验收，征求部门意见，经市政同意印发实施</w:t>
            </w:r>
            <w:r>
              <w:rPr>
                <w:rFonts w:hint="eastAsia" w:ascii="宋体" w:cs="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val="en-US" w:eastAsia="zh-CN"/>
              </w:rPr>
            </w:pPr>
            <w:r>
              <w:rPr>
                <w:rFonts w:hint="eastAsia" w:ascii="宋体" w:hAnsi="宋体" w:eastAsia="宋体" w:cs="宋体"/>
                <w:sz w:val="20"/>
              </w:rPr>
              <w:t>指标1：</w:t>
            </w:r>
            <w:r>
              <w:rPr>
                <w:rFonts w:hint="eastAsia" w:ascii="宋体" w:hAnsi="宋体" w:eastAsia="宋体" w:cs="宋体"/>
                <w:sz w:val="20"/>
                <w:lang w:eastAsia="zh-CN"/>
              </w:rPr>
              <w:t>10个专题、1个文本、图件</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完成生态修复规划文本、图件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规划文本</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default" w:ascii="宋体" w:hAnsi="宋体" w:eastAsia="宋体" w:cs="宋体"/>
                <w:sz w:val="20"/>
                <w:lang w:val="en-US" w:eastAsia="zh-CN"/>
              </w:rPr>
              <w:t>通过专家验收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按省厅时限要求印发</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2023年9月完成规划印发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指标1：委托业务费</w:t>
            </w:r>
          </w:p>
        </w:tc>
        <w:tc>
          <w:tcPr>
            <w:tcW w:w="4228" w:type="dxa"/>
            <w:gridSpan w:val="2"/>
            <w:tcBorders>
              <w:tl2br w:val="nil"/>
              <w:tr2bl w:val="nil"/>
            </w:tcBorders>
            <w:noWrap w:val="0"/>
            <w:vAlign w:val="center"/>
          </w:tcPr>
          <w:p>
            <w:pPr>
              <w:widowControl/>
              <w:spacing w:line="20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摸清生态环境问题种类</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提高淮北市自然</w:t>
            </w:r>
            <w:r>
              <w:rPr>
                <w:rFonts w:hint="eastAsia" w:ascii="宋体" w:hAnsi="宋体" w:eastAsia="宋体" w:cs="宋体"/>
                <w:sz w:val="20"/>
                <w:lang w:val="en-US" w:eastAsia="zh-CN"/>
              </w:rPr>
              <w:t>资源</w:t>
            </w:r>
            <w:r>
              <w:rPr>
                <w:rFonts w:hint="eastAsia" w:ascii="宋体" w:hAnsi="宋体" w:eastAsia="宋体" w:cs="宋体"/>
                <w:sz w:val="20"/>
              </w:rPr>
              <w:t>生态产品价值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提高周围群众满意度</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提高群众对生态环境的满意度和获得感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生态品质提升</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提升全市生态环境品质，促进绿色发展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治理后环境改善</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生态系统良性循环，生态环境根本性改善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rPr>
              <w:t>指标1：</w:t>
            </w:r>
            <w:r>
              <w:rPr>
                <w:rFonts w:hint="eastAsia" w:ascii="宋体" w:hAnsi="宋体" w:eastAsia="宋体" w:cs="宋体"/>
                <w:sz w:val="20"/>
                <w:lang w:eastAsia="zh-CN"/>
              </w:rPr>
              <w:t>群众满意度</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周边群众的满意度提高。</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9、“淮北市1：5万地质灾害风险调查评价成果集成项目”项目。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项目概述。 2021年中央拨付专项资金230万元，用于开展县、三区1：5万地质灾害风险调查工作。县、三区风险调查项目于2023年3月通过省级验收。根据有关文件要求，市级收集汇总各县区1：5万地质灾害风险调查评价成果资料，编写淮北市地质灾害风险调查评价报告和风险普查成果说明，绘制淮北市1：10万地质灾害风险区划图，形成市级数据库。2022年市级预算已编制，完成招标。</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立项依据</w:t>
      </w:r>
      <w:r>
        <w:rPr>
          <w:rFonts w:hint="eastAsia" w:ascii="TimesNewRoman" w:hAnsi="TimesNewRoman" w:eastAsia="仿宋_GB2312" w:cs="TimesNewRoman"/>
          <w:kern w:val="0"/>
          <w:sz w:val="32"/>
          <w:szCs w:val="32"/>
          <w:lang w:eastAsia="zh-CN"/>
        </w:rPr>
        <w:t>。根据《安徽省第一次全国自然灾害综合风险普查实施方案的通知》（皖灾险普办办〔2021〕10号）、关于印发《淮北市第一次全国自然灾害综合风险普查工作方案》的通知（淮灾险普办办〔2021〕1号）。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4.12</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收集汇总各县区</w:t>
      </w:r>
      <w:r>
        <w:rPr>
          <w:rFonts w:hint="eastAsia" w:ascii="TimesNewRoman" w:hAnsi="TimesNewRoman" w:eastAsia="仿宋_GB2312" w:cs="TimesNewRoman"/>
          <w:kern w:val="0"/>
          <w:sz w:val="32"/>
          <w:szCs w:val="32"/>
          <w:lang w:val="en-US" w:eastAsia="zh-CN"/>
        </w:rPr>
        <w:t>1：5万地质灾害风险调查评价成果资料，编写淮北市地质灾害风险调查评价报告和风险普查成果说明，绘制淮北市1：10万地质灾害风险区划图等工作。</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9.48</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rPr>
              <w:t>淮北市1：5万地质灾害风险调查评价成果集成项目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编写淮北市风险调查评价报告和风险普查成果说明，绘制淮北市1：10万地质灾害风险区划图，形成市级数据库。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1：5万全市数据集成</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形成市级数据库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地质灾害风险调查成果</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按地质灾害风险调查评价技术要求完成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地质灾害风险调查成果集成</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2023年底前提交市级集成成果并验收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指标1：委托业务费</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按合同支付委托业务费9.48万元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保障地方经济稳定发展</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未发生地质灾害事故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地质灾害防治能力</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地质灾害防治能力稳固提升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为生态环境提供地质保障</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为生态环境提升提供抵制保障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尽可能降低地质灾害带来人员伤亡和财产损失</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未发生人员伤亡事件。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群众满意度</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周边群众的满意度。</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10、“城市国土空间监测”项目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（1）项目概述。以2022年度国土变更调查成果为底图，依据2023年高分辨率遥感影像和最新的相关专题资料，结合实地调查等工作，掌握城市建设总量、用地结构、基础设施和服务功能等情况。</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（2）立项依据。《自然资源部办公厅关于开展2023年上半年自然资源监测工作的通知》（自然资办发〔2023〕22 号）</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（4）起止时间：2024.01-2024.12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根据《自然资源部办公厅关于开展2023年上半年自然资源监测工作的通知》（自然资办发〔2023〕22 号</w:t>
      </w: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以2022年度国土变更调查成果为底图，依据2023年高分辨率遥感影像和最新的相关专题资料，结合实地调查等工作，掌握城市建设总量、用地结构、基础设施和服务功能等情况。将2022年城市国土空间监测要素的现势性更新到2023年，完善新增监测要素的采集核实工作，汇总形成2023年度城市国土空间监测的基础成果、统计成果、分析成果。</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（6）年度预算安排：50万元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hint="eastAsia" w:ascii="宋体" w:hAnsi="宋体" w:eastAsia="宋体" w:cs="宋体"/>
                <w:b/>
                <w:color w:val="000000"/>
                <w:kern w:val="0"/>
                <w:sz w:val="28"/>
                <w:szCs w:val="28"/>
              </w:rPr>
            </w:pPr>
          </w:p>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城市国土空间监测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201-淮北市自然资源和规划局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rPr>
                <w:rFonts w:hint="eastAsia" w:eastAsia="宋体"/>
                <w:lang w:eastAsia="zh-CN"/>
              </w:rPr>
            </w:pPr>
            <w:r>
              <w:rPr>
                <w:rFonts w:hint="eastAsia" w:ascii="宋体" w:eastAsia="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ascii="宋体" w:cs="宋体"/>
                <w:sz w:val="20"/>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将2022年城市国土空间监测要素的现势性更新到2023年，完善新增监测要素的采集核实工作，汇总形成2023年度城市国土空间监测的基础成果、统计成果、分析成果。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指标1：成果核查</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个区成果核查。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指标1：数据库</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数据库成果通过验收合格。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指标1：完成时间</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按国家、省厅时间要求完成。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指标1：项目预算</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按预算执行。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指标1：减少经济损失</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为政府相关职能部门决策提供支持，减少因政策不合理带来的经济损失。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指标1：为社会提供支持</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为社会提供地理信息服务，对交通、规划等行业支持。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指标1：为部门提供服务</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按照需求开展要素属性变化监测，分析生态环境趋势。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指标1：为行业提供基础</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对城市空间格局变化等进行监测。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满足规划、测绘等工作的管理需要。</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11、“三调数据库市级更新”项目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按照“日常举证、季度汇总、年底更新”的原则，结合各类监测及自然资源管理成果，制作调查底图，组织实地调查举证，形成市级年度国土变更调查成果，全面掌握我市2023年度国土利用变化情况，保持第三次全国国土调查及其基础上开展的年度国土变更调查成果的现势性。</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（2）立项依据。《自然资源部办公厅关于开展2023年上半年自然资源监测工作的通知》（自然资办发〔2023〕22 号），《安徽省自然资源厅关于印发安徽省日常变更调查实施方案（试行）的通知》（皖自然资调〔2023〕1号）。</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（4）起止时间：2024.01-2024.12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根据《自然资源部办公厅关于开展2023年上半年自然资源监测工作的通知》（自然资办发〔2023〕22 号），《安徽省自然资源厅关于印发安徽省日常变更调查实施方案（试行）的通知》（皖自然资调〔2023〕1号），按照“日常举证、季度汇总、年底更新”的原则，结合各类监测及自然资源管理成果，制作调查底图，组织实地调查举证，形成市级年度国土变更调查成果，全面掌握我市2023年度国土利用变化情况，保持第三次全国国土调查及其基础上开展的年度国土变更调查成果的现势性。根据时间节点要求完成各项调查任务，将日常变更调查与年度国土变更调查工作进行有效衔接，汇总形成年度国土变更调查成果并按要求通过省、部级质量检查。</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（6）年度预算安排：19.5万元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rPr>
              <w:t>三调数据库市级更新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根据时间节点要求完成各项调查任务，将日常变更调查与年度国土变更调查工作进行有效衔接，汇总形成年度国土变更调查成果并按要求通过省、部级质量检查。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指标1：成果核查</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完成4个县区成果核查。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指标1：数据库</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数据库成果通过验收合格。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指标1：完成时间</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按国家、省厅时间要求完成。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指标1：项目预算</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按预算执行。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指标1：减少经济损失</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提高土地利用率，减少违规用地带来的经济损失。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指标1：规范用地秩序</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查清土地利用现状，维护用地秩序和社会公平。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指标1：为部门提供服务</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为生态红线划定、工矿用地建设复垦等提供服务。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指标1：为行业提供基础</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为农、林、水等部门提供详实的基础数据，为国民经济健康发展提供有力保障。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满足耕保、利用、执法等工作的管理需要。</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w:t>
      </w:r>
      <w:r>
        <w:rPr>
          <w:rFonts w:hint="default"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val="en-US" w:eastAsia="zh-CN"/>
        </w:rPr>
        <w:t>、“市级发证采矿权超层越界开采动态监测”项目。</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（1）项目概述。根据《安徽省自然资源厅关于下达采矿权实地勘测定界和超层越界开采动态监测任务的通知》(皖自然资矿权函〔2023〕26号)文件要求，需对市级发证采矿权开展超层越界动态监测工作。</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（2）立项依据。根据《安徽省自然资源厅关于下达采矿权实地勘测定界和超层越界开采动态监测任务的通知》(皖自然资矿权函〔2023〕26号)。</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（4）起止时间。2024.01-2024.12</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根据《安徽省自然资源厅关于下达采矿权实地勘测定界和超层越界开采动态监测任务的通知》(皖自然资矿权函〔2023〕26号)文件要求，市级自然资源主管部门每年需对市级发证采矿权开展实地勘测定界和超层越界开采动态监测工作。确定承担监测的专业技术队伍，按时提交本级采矿权动态监测年度总结报告。目前，淮北市级发证采矿权共6家，其中露天开采采矿权5家，地下开采采矿权1家</w:t>
      </w:r>
      <w:r>
        <w:rPr>
          <w:rFonts w:hint="default" w:ascii="TimesNewRoman" w:hAnsi="TimesNewRoman" w:eastAsia="仿宋_GB2312" w:cs="TimesNewRoman"/>
          <w:kern w:val="0"/>
          <w:sz w:val="32"/>
          <w:szCs w:val="32"/>
          <w:lang w:val="en-US" w:eastAsia="zh-CN"/>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（6）年度预算安排。9.8万元</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lang w:val="en-US" w:eastAsia="zh-CN"/>
              </w:rPr>
              <w:t>淮北市</w:t>
            </w:r>
            <w:r>
              <w:rPr>
                <w:rFonts w:hint="eastAsia" w:ascii="宋体" w:hAnsi="宋体" w:eastAsia="宋体" w:cs="宋体"/>
                <w:color w:val="000000"/>
                <w:kern w:val="0"/>
                <w:sz w:val="20"/>
                <w:szCs w:val="20"/>
              </w:rPr>
              <w:t>市级发证采矿权超层越界开采动态监测经费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201-淮北市自然资源和规划局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ascii="宋体" w:cs="宋体"/>
                <w:sz w:val="20"/>
              </w:rPr>
            </w:pPr>
            <w:r>
              <w:rPr>
                <w:rFonts w:hint="eastAsia" w:ascii="宋体" w:cs="宋体"/>
                <w:sz w:val="2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cs="宋体"/>
                <w:sz w:val="20"/>
                <w:lang w:val="en-US"/>
              </w:rPr>
            </w:pPr>
            <w:r>
              <w:rPr>
                <w:rFonts w:hint="default" w:ascii="宋体" w:cs="宋体"/>
                <w:sz w:val="20"/>
                <w:lang w:val="en-US"/>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每年的10月底前完成本年度市级发证采矿权开展超层越界动态监测实地核查工作，根据实地核查结果编制市级发证采矿权开展超层越界动态监测年度工作总结，经专家评审后上报至省自然资源厅，完成本年度市级发证采矿权开展超层越界动态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市发证采矿权数量</w:t>
            </w:r>
          </w:p>
        </w:tc>
        <w:tc>
          <w:tcPr>
            <w:tcW w:w="4228" w:type="dxa"/>
            <w:gridSpan w:val="2"/>
            <w:tcBorders>
              <w:tl2br w:val="nil"/>
              <w:tr2bl w:val="nil"/>
            </w:tcBorders>
            <w:noWrap w:val="0"/>
            <w:vAlign w:val="center"/>
          </w:tcPr>
          <w:p>
            <w:pPr>
              <w:jc w:val="center"/>
              <w:rPr>
                <w:rFonts w:hint="eastAsia" w:ascii="宋体" w:eastAsia="宋体" w:cs="宋体"/>
                <w:sz w:val="20"/>
                <w:lang w:val="en-US" w:eastAsia="zh-CN"/>
              </w:rPr>
            </w:pPr>
            <w:r>
              <w:rPr>
                <w:rFonts w:hint="eastAsia" w:ascii="宋体" w:cs="宋体"/>
                <w:sz w:val="20"/>
                <w:lang w:val="en-US" w:eastAsia="zh-CN"/>
              </w:rPr>
              <w:t>6家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项目完成质量</w:t>
            </w:r>
          </w:p>
        </w:tc>
        <w:tc>
          <w:tcPr>
            <w:tcW w:w="4228" w:type="dxa"/>
            <w:gridSpan w:val="2"/>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lang w:val="en-US" w:eastAsia="zh-CN"/>
              </w:rPr>
              <w:t>淮北市市级管理采矿权动态监测核查总结工作报告质量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项目进度</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rPr>
              <w:t>本年度矿山开采动态监测工作成果有效期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指标1：报告编制费用</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减少自然资源流失</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指标1：持证矿山合法生产能力</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指标1：持证矿山超限越界开采监管工作力度</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指标1：持证矿山监管性</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指标1：持证矿山监管部门</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100%</w:t>
            </w:r>
          </w:p>
        </w:tc>
      </w:tr>
    </w:tbl>
    <w:p>
      <w:pPr>
        <w:ind w:firstLine="640" w:firstLineChars="200"/>
        <w:rPr>
          <w:rFonts w:hint="eastAsia" w:ascii="TimesNewRoman" w:hAnsi="TimesNewRoman" w:eastAsia="仿宋_GB2312" w:cs="TimesNewRoman"/>
          <w:kern w:val="0"/>
          <w:sz w:val="32"/>
          <w:szCs w:val="32"/>
        </w:rPr>
      </w:pPr>
    </w:p>
    <w:p>
      <w:pPr>
        <w:numPr>
          <w:ilvl w:val="0"/>
          <w:numId w:val="2"/>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信息化系统运维方案</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1、一张图”管理平台的建设与运行维护，严格按照“谁建设、谁维护，谁使用、谁负责”的原则，为淮北市自然资源信息化发展和社会化信息服务提供数据支撑，以信息化带动自然资源信息技术跨越式发展和自然资源管理方式的根本转变，全面提升淮北市自然资源行政管理水平和资源监管能力，进一步提升自然资源监管能力和为民服务水平；2、“天地图·淮北”运维项目建设目标，在地理信息公共服务平台的基础上，整合历史数据和现状数据，全面升级“天地图.淮北”，针对淮北本地信息化现状，扩展强化行业特色示范应用，包括与淮北大数据中心管理平台对接、各市直部门业务系统对接建设等示范应用实现，并为各类应用提供数据共享及资源服务，推动淮北全方位智能化发展。3、根据中国国家标准《信息安全技术网络安全等级保护管理办法》和其他相关法规，对网络系统进行评估和等级划定的过程。等保测评的目的是为了评估网络系统的安全性水平，划定相应的等级保护要求，为政府和企业提供网络安全保护的指导和依据。等保测评通常包括对网络系统的安全管理、物理环境、网络通信、身份认证和访问控制、数据安全、系统运维等方面进行全面的评估和测试。评估结果基于不同的安全等级划定出相应的等级保护要求，确定出网络系统需要达到的安全保护级别。等保测评结果还可以为网络系统提供针对性的安全改进建议，帮助提升系统的安全防护能力。</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一张图”自然资源部（原国土资源部）印发了《关于加快国土资源遥感监测“一张图”和综合监管平台建设与应用的通知》（国土资厅发〔2012〕42号）、《自然资源部信息化建设总体方案》等系列通知、文件，2、天地图：根据《安徽省自然资源厅转发自然资源部办公厅关于印发&lt;地理信息公共服务平台管理办法&gt;的通知》（皖自然资测函〔2021〕8号）和《安徽省自然资源厅关于开展市级地理信息公共服务平台2021年综合评估的通知》（皖自然资测函〔2021〕42号）的要求。</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1、“一张图”管理平台的建设与运行维护，严格按照“谁建设、谁维护，谁使用、谁负责”的原则，全面提升淮北市自然资源行政管理水平和资源监管能力，进一步提升自然资源监管能力和为民服务水平；2、“天地图·淮北”运维项目建设目标，在地理信息公共服务平台的基础上，整合历史数据和现状数据，全面升级“天地图.淮北”，针对淮北本地信息化现状，扩展强化行业特色示范应用，包括与淮北大数据中心管理平台对接、各市直部门业务系统对接建设等示范应用实现，并为各类应用提供数据共享及资源服务，推动淮北全方位智能化发展。3、根据中国国家标准《信息安全技术网络安全等级保护管理办法》和其他相关法规，对网络系统进行评估和等级划定的过程。等保测评的目的是为了评估网络系统的安全性水平，划定相应的等级保护要求，为政府和企业提供网络安全保护的指导和依据。等保测评通常包括对网络系统的安全管理、物理环境、网络通信、身份认证和访问控制、数据安全、系统运维等方面进行全面的评估和测试。评估结果基于不同的安全等级划定出相应的等级保护要求，确定出网络系统需要达到的安全保护级别。等保测评结果还可以为网络系统提供针对性的安全改进建议，帮助提升系统的安全防护能力。</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92万元。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jc w:val="center"/>
              <w:rPr>
                <w:rFonts w:ascii="宋体" w:cs="宋体"/>
                <w:sz w:val="20"/>
              </w:rPr>
            </w:pPr>
            <w:r>
              <w:rPr>
                <w:rFonts w:hint="eastAsia" w:ascii="宋体" w:hAnsi="宋体" w:cs="宋体"/>
                <w:color w:val="000000"/>
                <w:kern w:val="0"/>
                <w:sz w:val="20"/>
                <w:szCs w:val="20"/>
              </w:rPr>
              <w:t>信息化系统运维方案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w:t>
            </w:r>
            <w:r>
              <w:rPr>
                <w:rFonts w:hint="eastAsia" w:ascii="宋体" w:hAnsi="宋体" w:cs="宋体"/>
                <w:color w:val="000000"/>
                <w:kern w:val="0"/>
                <w:sz w:val="20"/>
                <w:szCs w:val="20"/>
                <w:lang w:eastAsia="zh-CN"/>
              </w:rPr>
              <w:t>淮北市自然资源和规划局</w:t>
            </w:r>
          </w:p>
        </w:tc>
        <w:tc>
          <w:tcPr>
            <w:tcW w:w="1848"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实施单位</w:t>
            </w:r>
          </w:p>
        </w:tc>
        <w:tc>
          <w:tcPr>
            <w:tcW w:w="2380"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1-本级申报项目</w:t>
            </w:r>
          </w:p>
        </w:tc>
        <w:tc>
          <w:tcPr>
            <w:tcW w:w="1848"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项目期</w:t>
            </w:r>
          </w:p>
        </w:tc>
        <w:tc>
          <w:tcPr>
            <w:tcW w:w="2380" w:type="dxa"/>
            <w:noWrap w:val="0"/>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hint="default" w:ascii="宋体" w:cs="宋体" w:eastAsiaTheme="minorEastAsia"/>
                <w:sz w:val="20"/>
                <w:lang w:val="en-US" w:eastAsia="zh-CN"/>
              </w:rPr>
            </w:pPr>
            <w:r>
              <w:rPr>
                <w:rFonts w:hint="eastAsia" w:ascii="宋体" w:cs="宋体"/>
                <w:sz w:val="20"/>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hint="default" w:ascii="宋体" w:cs="宋体" w:eastAsiaTheme="minorEastAsia"/>
                <w:sz w:val="20"/>
                <w:lang w:val="en-US" w:eastAsia="zh-CN"/>
              </w:rPr>
            </w:pPr>
            <w:r>
              <w:rPr>
                <w:rFonts w:hint="eastAsia" w:ascii="宋体" w:cs="宋体"/>
                <w:sz w:val="20"/>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ascii="宋体" w:cs="宋体"/>
                <w:sz w:val="20"/>
                <w:shd w:val="clear" w:color="auto" w:fill="auto"/>
              </w:rPr>
            </w:pPr>
            <w:r>
              <w:rPr>
                <w:rFonts w:hint="eastAsia" w:ascii="宋体" w:hAnsi="宋体" w:cs="宋体"/>
                <w:color w:val="000000"/>
                <w:kern w:val="0"/>
                <w:sz w:val="20"/>
                <w:szCs w:val="20"/>
                <w:shd w:val="clear" w:color="auto" w:fill="auto"/>
              </w:rPr>
              <w:t>年度</w:t>
            </w:r>
            <w:r>
              <w:rPr>
                <w:rFonts w:hint="eastAsia" w:ascii="宋体" w:hAnsi="宋体" w:cs="宋体"/>
                <w:color w:val="000000"/>
                <w:kern w:val="0"/>
                <w:sz w:val="20"/>
                <w:szCs w:val="20"/>
                <w:shd w:val="clear" w:color="auto" w:fill="auto"/>
              </w:rPr>
              <w:br w:type="textWrapping"/>
            </w:r>
            <w:r>
              <w:rPr>
                <w:rFonts w:hint="eastAsia" w:ascii="宋体" w:hAnsi="宋体" w:cs="宋体"/>
                <w:color w:val="000000"/>
                <w:kern w:val="0"/>
                <w:sz w:val="20"/>
                <w:szCs w:val="20"/>
                <w:shd w:val="clear" w:color="auto" w:fill="auto"/>
              </w:rPr>
              <w:t>目标</w:t>
            </w:r>
          </w:p>
        </w:tc>
        <w:tc>
          <w:tcPr>
            <w:tcW w:w="8582" w:type="dxa"/>
            <w:gridSpan w:val="6"/>
            <w:noWrap w:val="0"/>
            <w:vAlign w:val="center"/>
          </w:tcPr>
          <w:p>
            <w:pPr>
              <w:jc w:val="left"/>
              <w:rPr>
                <w:rFonts w:ascii="宋体" w:cs="宋体"/>
                <w:sz w:val="20"/>
                <w:shd w:val="clear" w:color="auto" w:fill="auto"/>
              </w:rPr>
            </w:pPr>
            <w:r>
              <w:rPr>
                <w:rFonts w:hint="eastAsia" w:ascii="宋体" w:cs="宋体"/>
                <w:sz w:val="20"/>
                <w:shd w:val="clear" w:color="auto" w:fill="auto"/>
              </w:rPr>
              <w:t>完善现有数据地板，对当前各级自然资源管理、监管决策与服务需要，完善分布式共建共享的数据管理机制。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指标1：服务人数</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500人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val="en-US" w:eastAsia="zh-CN"/>
              </w:rPr>
              <w:t xml:space="preserve"> 项目完成质量        </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维护“一张图”及综合监管平台以及国土空间基础平台数据的准确性和完整性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项目进度</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完成“</w:t>
            </w:r>
            <w:r>
              <w:rPr>
                <w:rFonts w:hint="eastAsia" w:ascii="宋体" w:hAnsi="宋体" w:cs="宋体"/>
                <w:color w:val="000000"/>
                <w:kern w:val="0"/>
                <w:sz w:val="20"/>
                <w:szCs w:val="20"/>
                <w:lang w:eastAsia="zh-CN"/>
              </w:rPr>
              <w:t>一张图”及综合监管平台以及国土空间基础平台数据维护工作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项目所需经费</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val="en-US" w:eastAsia="zh-CN"/>
              </w:rPr>
              <w:t>节约成本</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准确掌握自然资源动态信息，提高自然资源管理决策的科学性，为保证社会经济科持续发展提供决策依据。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社会效益成本</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节省人力、物力、财力、，有效促进自然资源管理机制和土地利用方式转变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生态效益成本</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节省人力、物力、财力，有效促进自然资源管理机制和土地利用方式转变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r>
              <w:rPr>
                <w:rFonts w:hint="eastAsia" w:ascii="宋体" w:hAnsi="宋体" w:cs="宋体"/>
                <w:color w:val="000000"/>
                <w:kern w:val="0"/>
                <w:sz w:val="20"/>
                <w:szCs w:val="20"/>
                <w:lang w:eastAsia="zh-CN"/>
              </w:rPr>
              <w:t>项目可</w:t>
            </w:r>
            <w:r>
              <w:rPr>
                <w:rFonts w:hint="eastAsia" w:ascii="宋体" w:hAnsi="宋体" w:cs="宋体"/>
                <w:color w:val="000000"/>
                <w:kern w:val="0"/>
                <w:sz w:val="20"/>
                <w:szCs w:val="20"/>
              </w:rPr>
              <w:t>持续影响</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实现淮北市市各行业、各部门信息资源共享交换、推动淮北市市基础地理信息数据建设，促进城市发展。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指标1：服务对象满意度</w:t>
            </w:r>
          </w:p>
        </w:tc>
        <w:tc>
          <w:tcPr>
            <w:tcW w:w="4228"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满意度</w:t>
            </w:r>
            <w:r>
              <w:rPr>
                <w:rFonts w:hint="eastAsia" w:ascii="宋体" w:hAnsi="宋体" w:cs="宋体"/>
                <w:color w:val="000000"/>
                <w:kern w:val="0"/>
                <w:sz w:val="20"/>
                <w:szCs w:val="20"/>
                <w:lang w:val="en-US" w:eastAsia="zh-CN"/>
              </w:rPr>
              <w:t>100%</w:t>
            </w:r>
          </w:p>
        </w:tc>
      </w:tr>
    </w:tbl>
    <w:p>
      <w:pPr>
        <w:ind w:firstLine="643" w:firstLineChars="200"/>
        <w:rPr>
          <w:rFonts w:hint="eastAsia" w:ascii="TimesNewRoman" w:hAnsi="TimesNewRoman" w:eastAsia="仿宋_GB2312" w:cs="TimesNewRoman"/>
          <w:b/>
          <w:bCs/>
          <w:kern w:val="0"/>
          <w:sz w:val="32"/>
          <w:szCs w:val="32"/>
          <w:lang w:val="en-US" w:eastAsia="zh-CN"/>
        </w:rPr>
      </w:pP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14、“淮北市国土空间总体规划（2020-2035年）”项目</w:t>
      </w:r>
    </w:p>
    <w:p>
      <w:pPr>
        <w:ind w:firstLine="640" w:firstLineChars="200"/>
        <w:rPr>
          <w:rFonts w:hint="eastAsia" w:ascii="TimesNewRoman" w:hAnsi="TimesNewRoman" w:eastAsia="仿宋_GB2312" w:cs="TimesNewRoman"/>
          <w:b w:val="0"/>
          <w:bCs w:val="0"/>
          <w:kern w:val="0"/>
          <w:sz w:val="32"/>
          <w:szCs w:val="32"/>
          <w:lang w:val="en-US" w:eastAsia="zh-CN" w:bidi="ar-SA"/>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b w:val="0"/>
          <w:bCs w:val="0"/>
          <w:kern w:val="0"/>
          <w:sz w:val="32"/>
          <w:szCs w:val="32"/>
          <w:lang w:val="en-US" w:eastAsia="zh-CN" w:bidi="ar-SA"/>
        </w:rPr>
        <w:t>为贯彻落实《中共中央 国务院关于建立国土空间规划体系并监督实施的若干意见》、《自然资源部关于全面开展国土空间规划工作的通知》、《安徽省人民政府办公厅关于印发全省国土空间规划编制工作方案的通知》等文件要求，2019年6月，我局组织开展了《淮北市国土空间总体规划（2021-2035年）》编制工作，并将规划编制费用列入市级财政预算资金。2020年1月，经公开招标程序，确定该规划中标单位为安徽省城乡规划设计研究院。根据编制合同约定以及规划编制进度，已申请拨付三笔规划编制费用，其中第三笔经费剩余未支付，现申请《淮北市国土空间总体规划（2020-2035年）》第三笔经费剩余部分及规划编制尾款经费。</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（2）立项依据。《淮北市国土空间规划（2020-2035年）》编制合同</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4.11</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淮北市国土空间总体规划数据库成果提交省自然资源厅，纳入全省“一张图”系统，有效支撑土地报批以及各类规划许可。加快转变国土空间开发利用方式，提升全域国土空间品质和利用效率，推动形成绿色发展方式和生活方式，提高国土空间治理能力，促进淮北市国</w:t>
      </w:r>
      <w:r>
        <w:rPr>
          <w:rFonts w:hint="eastAsia" w:ascii="TimesNewRoman" w:hAnsi="TimesNewRoman" w:eastAsia="仿宋_GB2312" w:cs="TimesNewRoman"/>
          <w:kern w:val="0"/>
          <w:sz w:val="32"/>
          <w:szCs w:val="32"/>
          <w:lang w:eastAsia="zh-CN"/>
        </w:rPr>
        <w:t>土</w:t>
      </w:r>
      <w:r>
        <w:rPr>
          <w:rFonts w:hint="eastAsia" w:ascii="TimesNewRoman" w:hAnsi="TimesNewRoman" w:eastAsia="仿宋_GB2312" w:cs="TimesNewRoman"/>
          <w:kern w:val="0"/>
          <w:sz w:val="32"/>
          <w:szCs w:val="32"/>
        </w:rPr>
        <w:t>空间开发保护更高质量、更有效率、更加公平、更可持续，努力建设成为资源型城市国土空间转型发展的样板示范区。</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156</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rPr>
              <w:t>淮北市国土空间总体规划（2020-2035年）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如期按时完成安徽省关于开展国土空间规划工作安排以及《淮北市人民政府办公室关于印发淮北市国土空间总体规划（2020—2035年）编制工作方案的通知》（淮政办〔2020〕10 号）要求，加快转变国土空间开发利用方式，提升全域国土空间品质和利用效率，推动形成绿色发展方式和生活方式，提高国土空间治理能力，促进淮北市国</w:t>
            </w:r>
            <w:r>
              <w:rPr>
                <w:rFonts w:hint="eastAsia" w:ascii="宋体" w:cs="宋体"/>
                <w:sz w:val="20"/>
                <w:lang w:val="en-US" w:eastAsia="zh-CN"/>
              </w:rPr>
              <w:t>土</w:t>
            </w:r>
            <w:r>
              <w:rPr>
                <w:rFonts w:hint="eastAsia" w:ascii="宋体" w:cs="宋体"/>
                <w:sz w:val="20"/>
              </w:rPr>
              <w:t>空间开发保护更高质量、更有效率、更加公平、更可持续，努力建设成为资源型城市国土空间转型发展的样板示范区。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规划专题研究内容</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不少于</w:t>
            </w:r>
            <w:r>
              <w:rPr>
                <w:rFonts w:hint="eastAsia" w:ascii="宋体" w:cs="宋体"/>
                <w:sz w:val="20"/>
              </w:rPr>
              <w:t>13</w:t>
            </w:r>
            <w:r>
              <w:rPr>
                <w:rFonts w:hint="eastAsia" w:ascii="宋体" w:cs="宋体"/>
                <w:sz w:val="20"/>
                <w:lang w:eastAsia="zh-CN"/>
              </w:rPr>
              <w:t>个专题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规划内容与技术规范的符合率</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不少于10个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完成时间</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指标1：编制费用</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城市土地开发保护效率</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不低于60%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城市级公服、基础设施覆盖率</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不低于90%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山水林田湖草资源利用率</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不低于80%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对十四五期间城市发展指导度</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不低于90%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征求意见数量</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eastAsia="zh-CN"/>
              </w:rPr>
              <w:t>不少于</w:t>
            </w:r>
            <w:r>
              <w:rPr>
                <w:rFonts w:hint="eastAsia" w:ascii="宋体" w:cs="宋体"/>
                <w:sz w:val="20"/>
                <w:lang w:val="en-US" w:eastAsia="zh-CN"/>
              </w:rPr>
              <w:t>10个</w:t>
            </w:r>
          </w:p>
        </w:tc>
      </w:tr>
    </w:tbl>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15、“2022年国土空间规划城市体检评估”项目</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Times New Roman" w:hAnsi="Times New Roman" w:eastAsia="仿宋_GB2312" w:cs="Times New 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color w:val="auto"/>
          <w:sz w:val="32"/>
          <w:szCs w:val="32"/>
          <w:lang w:val="en-US" w:eastAsia="zh-CN"/>
        </w:rPr>
        <w:t>国土空间规划城市体检评估指的是依据国土空间规划，按照“一年一体检、五年一评估”的方式，对城市发展体征及规划实施效果定期进行的分析和评价，是促进城市高质量发展，保障国土空间规划得到有效实施的重要工具。《中共中央 国务院关于建立国土空间规划体系并监督实施的若干意见》(中发</w:t>
      </w:r>
      <w:r>
        <w:rPr>
          <w:rFonts w:hint="eastAsia" w:ascii="Times New Roman" w:hAnsi="Times New Roman" w:eastAsia="仿宋_GB2312" w:cs="Times New Roman"/>
          <w:kern w:val="0"/>
          <w:sz w:val="32"/>
          <w:szCs w:val="32"/>
          <w:lang w:val="en-US" w:eastAsia="zh-CN"/>
        </w:rPr>
        <w:t>〔2019〕18</w:t>
      </w:r>
      <w:r>
        <w:rPr>
          <w:rFonts w:hint="eastAsia" w:ascii="仿宋_GB2312" w:hAnsi="仿宋_GB2312" w:eastAsia="仿宋_GB2312" w:cs="仿宋_GB2312"/>
          <w:color w:val="auto"/>
          <w:sz w:val="32"/>
          <w:szCs w:val="32"/>
          <w:lang w:val="en-US" w:eastAsia="zh-CN"/>
        </w:rPr>
        <w:t>号)提出，“建立国土空间规划定期评估制度，结合国民经济社会发展实际和规划定期评估结果，对国土空间规划进行动态调整完善。”</w:t>
      </w:r>
    </w:p>
    <w:p>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color w:val="auto"/>
          <w:sz w:val="32"/>
          <w:szCs w:val="32"/>
          <w:lang w:val="en-US" w:eastAsia="zh-CN"/>
        </w:rPr>
        <w:t>自然资源部办公厅印发《关于商请组织完成县级以上城市城区范围确定工作的函》、省自然资源厅印发《工作提示》(皖自然资规划函</w:t>
      </w:r>
      <w:r>
        <w:rPr>
          <w:rFonts w:hint="eastAsia" w:ascii="Times New Roman" w:hAnsi="Times New Roman" w:eastAsia="仿宋_GB2312" w:cs="Times New Roman"/>
          <w:kern w:val="0"/>
          <w:sz w:val="32"/>
          <w:szCs w:val="32"/>
          <w:lang w:val="en-US" w:eastAsia="zh-CN"/>
        </w:rPr>
        <w:t>〔2022〕115</w:t>
      </w:r>
      <w:r>
        <w:rPr>
          <w:rFonts w:hint="eastAsia" w:ascii="仿宋_GB2312" w:hAnsi="仿宋_GB2312" w:eastAsia="仿宋_GB2312" w:cs="仿宋_GB2312"/>
          <w:color w:val="auto"/>
          <w:sz w:val="32"/>
          <w:szCs w:val="32"/>
          <w:lang w:val="en-US" w:eastAsia="zh-CN"/>
        </w:rPr>
        <w:t>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4.11</w:t>
      </w:r>
    </w:p>
    <w:p>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color w:val="auto"/>
          <w:sz w:val="32"/>
          <w:szCs w:val="32"/>
          <w:lang w:val="en-US" w:eastAsia="zh-CN"/>
        </w:rPr>
        <w:t>根据体检评估规程要求，基于淮北市</w:t>
      </w:r>
      <w:r>
        <w:rPr>
          <w:rFonts w:hint="eastAsia" w:ascii="Times New Roman" w:hAnsi="Times New Roman" w:eastAsia="仿宋_GB2312" w:cs="Times New Roman"/>
          <w:kern w:val="0"/>
          <w:sz w:val="32"/>
          <w:szCs w:val="32"/>
          <w:lang w:val="en-US" w:eastAsia="zh-CN"/>
        </w:rPr>
        <w:t>2021</w:t>
      </w:r>
      <w:r>
        <w:rPr>
          <w:rFonts w:hint="eastAsia" w:ascii="仿宋_GB2312" w:hAnsi="仿宋_GB2312" w:eastAsia="仿宋_GB2312" w:cs="仿宋_GB2312"/>
          <w:color w:val="auto"/>
          <w:sz w:val="32"/>
          <w:szCs w:val="32"/>
          <w:lang w:val="en-US" w:eastAsia="zh-CN"/>
        </w:rPr>
        <w:t>年变更调查数据城区范围成果，在广泛征求市直相关部门意见基础上，积极开展国土空间规划城市体检评估工作，从安全、创新、协调、绿色、开放、共享等方面查找问题，深入分析原因，提出规划对策，并形成《淮北市</w:t>
      </w:r>
      <w:r>
        <w:rPr>
          <w:rFonts w:hint="eastAsia" w:ascii="Times New Roman" w:hAnsi="Times New Roman" w:eastAsia="仿宋_GB2312" w:cs="Times New Roman"/>
          <w:kern w:val="0"/>
          <w:sz w:val="32"/>
          <w:szCs w:val="32"/>
          <w:lang w:val="en-US" w:eastAsia="zh-CN"/>
        </w:rPr>
        <w:t>2021</w:t>
      </w:r>
      <w:r>
        <w:rPr>
          <w:rFonts w:hint="eastAsia" w:ascii="仿宋_GB2312" w:hAnsi="仿宋_GB2312" w:eastAsia="仿宋_GB2312" w:cs="仿宋_GB2312"/>
          <w:color w:val="auto"/>
          <w:sz w:val="32"/>
          <w:szCs w:val="32"/>
          <w:lang w:val="en-US" w:eastAsia="zh-CN"/>
        </w:rPr>
        <w:t>年度国土空间规划城市体检评估报告》。</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22</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rPr>
              <w:t>2022年国土空间规划城市体检评估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cs="宋体"/>
                <w:sz w:val="20"/>
              </w:rPr>
              <w:t>依据省自然资源厅《工作提示》（皖自然资规函〔2022〕115号）要求，按照《国土空间规划城市体检评估规程》（TD/T1063-2021），基于2021年变更调查数据城区范围成果，结合国土空间总体规划编制，开展2022年城市体检评估工作编制完成《淮北市2021年度国土空间规划城市体检评估报告》，提交省自然资源厅，通过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体检评估指标</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不少于</w:t>
            </w:r>
            <w:r>
              <w:rPr>
                <w:rFonts w:hint="eastAsia" w:ascii="宋体" w:cs="宋体"/>
                <w:sz w:val="20"/>
                <w:lang w:val="en-US" w:eastAsia="zh-CN"/>
              </w:rPr>
              <w:t>101</w:t>
            </w:r>
            <w:r>
              <w:rPr>
                <w:rFonts w:hint="eastAsia" w:ascii="宋体" w:cs="宋体"/>
                <w:sz w:val="20"/>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与《国土空间规划体检评估规程》符合性</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不低于95%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评估完成时间</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指标1：评估费用</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项目总成本</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体检评估中创新协调指标</w:t>
            </w:r>
          </w:p>
        </w:tc>
        <w:tc>
          <w:tcPr>
            <w:tcW w:w="4228" w:type="dxa"/>
            <w:gridSpan w:val="2"/>
            <w:tcBorders>
              <w:tl2br w:val="nil"/>
              <w:tr2bl w:val="nil"/>
            </w:tcBorders>
            <w:noWrap w:val="0"/>
            <w:vAlign w:val="center"/>
          </w:tcPr>
          <w:p>
            <w:pPr>
              <w:jc w:val="center"/>
              <w:rPr>
                <w:rFonts w:hint="default" w:ascii="宋体" w:cs="宋体"/>
                <w:sz w:val="20"/>
                <w:lang w:val="en-US"/>
              </w:rPr>
            </w:pPr>
            <w:r>
              <w:rPr>
                <w:rFonts w:hint="eastAsia" w:ascii="宋体" w:cs="宋体"/>
                <w:sz w:val="20"/>
                <w:lang w:val="en-US" w:eastAsia="zh-CN"/>
              </w:rPr>
              <w:t>不少于37个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体检评估中绿色发展指标</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不少于15个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体检评估中可持续影响指标</w:t>
            </w:r>
          </w:p>
        </w:tc>
        <w:tc>
          <w:tcPr>
            <w:tcW w:w="4228" w:type="dxa"/>
            <w:gridSpan w:val="2"/>
            <w:tcBorders>
              <w:tl2br w:val="nil"/>
              <w:tr2bl w:val="nil"/>
            </w:tcBorders>
            <w:noWrap w:val="0"/>
            <w:vAlign w:val="center"/>
          </w:tcPr>
          <w:p>
            <w:pPr>
              <w:jc w:val="center"/>
              <w:rPr>
                <w:rFonts w:ascii="宋体" w:cs="宋体"/>
                <w:sz w:val="20"/>
              </w:rPr>
            </w:pPr>
            <w:r>
              <w:rPr>
                <w:rFonts w:hint="eastAsia" w:ascii="宋体" w:cs="宋体"/>
                <w:sz w:val="20"/>
                <w:lang w:val="en-US" w:eastAsia="zh-CN"/>
              </w:rPr>
              <w:t>不少于49个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服务对象满意度</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100%</w:t>
            </w:r>
          </w:p>
        </w:tc>
      </w:tr>
    </w:tbl>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16、“淮北市绿金湖东岸乡村俱乐部概念性规划”项目</w:t>
      </w:r>
    </w:p>
    <w:p>
      <w:pPr>
        <w:keepNext w:val="0"/>
        <w:keepLines w:val="0"/>
        <w:pageBreakBefore w:val="0"/>
        <w:kinsoku/>
        <w:wordWrap/>
        <w:overflowPunct/>
        <w:topLinePunct w:val="0"/>
        <w:autoSpaceDE/>
        <w:autoSpaceDN/>
        <w:bidi w:val="0"/>
        <w:adjustRightInd/>
        <w:snapToGrid/>
        <w:spacing w:line="600" w:lineRule="exact"/>
        <w:ind w:firstLine="632"/>
        <w:jc w:val="both"/>
        <w:textAlignment w:val="auto"/>
        <w:rPr>
          <w:rFonts w:hint="eastAsia" w:ascii="仿宋_GB2312" w:hAnsi="仿宋_GB2312" w:eastAsia="仿宋_GB2312" w:cs="仿宋_GB2312"/>
          <w:color w:val="auto"/>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color w:val="auto"/>
          <w:sz w:val="32"/>
          <w:szCs w:val="32"/>
          <w:lang w:val="en-US" w:eastAsia="zh-CN"/>
        </w:rPr>
        <w:t xml:space="preserve">近年来，我市坚持生态优先、绿色发展，大力开展生态治理修复，将采煤沉陷区治理形成以南湖、绿金湖、朔西湖等为代表的“湖清岸绿景美”生态中心湖带，城市生态空间大幅拓展，山水生态特色更加鲜明，拥湖发展的城市空间格局豁然开朗，呈现“煤美与共、湖上淮北”的城市气质。绿金湖片区位于绿金湖西侧，片区北至南黎路，南至沱河路，东至岱河，西至长山南路西，片区视野开阔，场地平整，具备良好的建设基础。该片区是相山区及淮北市十四五期间城市发展战略的重要载体和城市开发的重点区域，紧邻新城中心节点和中央湖廊，是淮北市中心城区城市发展重点拓展区域。  </w:t>
      </w:r>
    </w:p>
    <w:p>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color w:val="auto"/>
          <w:sz w:val="32"/>
          <w:szCs w:val="32"/>
          <w:lang w:val="en-US" w:eastAsia="zh-CN"/>
        </w:rPr>
        <w:t>按照中共中央国务院关于乡村振兴的总体部署要求，结合我市采煤深陷区综合治理特点。</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4.11</w:t>
      </w:r>
    </w:p>
    <w:p>
      <w:pPr>
        <w:ind w:firstLine="640" w:firstLineChars="200"/>
        <w:rPr>
          <w:rFonts w:hint="eastAsia" w:ascii="仿宋_GB2312" w:hAnsi="仿宋_GB2312" w:eastAsia="仿宋_GB2312" w:cs="仿宋_GB2312"/>
          <w:color w:val="auto"/>
          <w:sz w:val="32"/>
          <w:szCs w:val="32"/>
          <w:lang w:val="en-US" w:eastAsia="zh-CN"/>
        </w:rPr>
      </w:pPr>
      <w:r>
        <w:rPr>
          <w:rFonts w:hint="eastAsia" w:ascii="TimesNewRoman" w:hAnsi="TimesNewRoman" w:eastAsia="仿宋_GB2312" w:cs="TimesNewRoman"/>
          <w:kern w:val="0"/>
          <w:sz w:val="32"/>
          <w:szCs w:val="32"/>
        </w:rPr>
        <w:t>（5）项目内容。</w:t>
      </w:r>
      <w:r>
        <w:rPr>
          <w:rFonts w:hint="eastAsia" w:ascii="仿宋_GB2312" w:hAnsi="仿宋_GB2312" w:eastAsia="仿宋_GB2312" w:cs="仿宋_GB2312"/>
          <w:color w:val="auto"/>
          <w:sz w:val="32"/>
          <w:szCs w:val="32"/>
          <w:lang w:val="en-US" w:eastAsia="zh-CN"/>
        </w:rPr>
        <w:t>梳理、提炼、总结基地具有的资源特征，以打造“乡村俱乐部”目标导向，确定基地未来发展的特色主题。从淮北区域分析、周边影响和多规划衔接等方面对基地进行科学、精确分析，明确项目实施的必要性和可行性；从 “旅游”、“文化”、“产业”、“社区” 等不同维度，明确基地具体的目标定位，并提出相关功能建设的发展策略；对于当地历史资源提出切实有效的项目开发措施及布局规划；通过总体规划与规划区内其他相关规划的研究，在规划中处理好相关规划的协调与融合，实现多规合一。整合自然、历史与现代的景观资源，注意按不同功能分区建立有特色的标识性强的整体形象，提出总体空间设计概念与特色塑造要求，建成方便、舒适、美观的整体环境。充分考虑公共活动体系的建立，建立完整的开放空间系统，营造生态、舒适、优美的人居环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148.57</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hAnsi="宋体" w:eastAsia="宋体" w:cs="宋体"/>
                <w:color w:val="000000"/>
                <w:kern w:val="0"/>
                <w:sz w:val="20"/>
                <w:szCs w:val="20"/>
              </w:rPr>
              <w:t>淮北市绿金湖东岸乡村俱乐部概念性规划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148.57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148.57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hint="eastAsia" w:ascii="宋体" w:eastAsia="宋体" w:cs="宋体"/>
                <w:sz w:val="20"/>
                <w:lang w:val="en-US" w:eastAsia="zh-CN"/>
              </w:rPr>
            </w:pPr>
            <w:r>
              <w:rPr>
                <w:rFonts w:hint="eastAsia" w:ascii="宋体" w:cs="宋体"/>
                <w:sz w:val="20"/>
              </w:rPr>
              <w:t>依编制完成绿金湖东岸乡村俱乐部概念性规划</w:t>
            </w:r>
            <w:r>
              <w:rPr>
                <w:rFonts w:hint="eastAsia" w:ascii="宋体" w:cs="宋体"/>
                <w:sz w:val="20"/>
                <w:lang w:eastAsia="zh-CN"/>
              </w:rPr>
              <w:t>，通过专家审查，经市自然资源规划委员会审议通过。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成果图件提交数</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不少于</w:t>
            </w:r>
            <w:r>
              <w:rPr>
                <w:rFonts w:hint="eastAsia" w:ascii="宋体" w:cs="宋体"/>
                <w:sz w:val="20"/>
                <w:lang w:val="en-US" w:eastAsia="zh-CN"/>
              </w:rPr>
              <w:t>10</w:t>
            </w:r>
            <w:r>
              <w:rPr>
                <w:rFonts w:hint="eastAsia" w:ascii="宋体" w:cs="宋体"/>
                <w:sz w:val="20"/>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受访群众决策支持率</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不低于95%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评估完成时间</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指标1：评估费用</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148.57万元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148.57万元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决策调查范围</w:t>
            </w:r>
          </w:p>
        </w:tc>
        <w:tc>
          <w:tcPr>
            <w:tcW w:w="4228" w:type="dxa"/>
            <w:gridSpan w:val="2"/>
            <w:tcBorders>
              <w:tl2br w:val="nil"/>
              <w:tr2bl w:val="nil"/>
            </w:tcBorders>
            <w:noWrap w:val="0"/>
            <w:vAlign w:val="center"/>
          </w:tcPr>
          <w:p>
            <w:pPr>
              <w:jc w:val="center"/>
              <w:rPr>
                <w:rFonts w:hint="default" w:ascii="宋体" w:cs="宋体"/>
                <w:sz w:val="20"/>
                <w:lang w:val="en-US"/>
              </w:rPr>
            </w:pPr>
            <w:r>
              <w:rPr>
                <w:rFonts w:hint="eastAsia" w:ascii="宋体" w:cs="宋体"/>
                <w:sz w:val="20"/>
                <w:lang w:eastAsia="zh-CN"/>
              </w:rPr>
              <w:t>不少于</w:t>
            </w:r>
            <w:r>
              <w:rPr>
                <w:rFonts w:hint="eastAsia" w:ascii="宋体" w:cs="宋体"/>
                <w:sz w:val="20"/>
                <w:lang w:val="en-US" w:eastAsia="zh-CN"/>
              </w:rPr>
              <w:t>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 xml:space="preserve">恢复塌陷区土地使用功能、促进生态环境改善 </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hAnsi="宋体" w:cs="宋体"/>
                <w:color w:val="000000"/>
                <w:kern w:val="0"/>
                <w:sz w:val="20"/>
                <w:szCs w:val="20"/>
                <w:lang w:eastAsia="zh-CN"/>
              </w:rPr>
              <w:t xml:space="preserve">恢复塌陷区土地使用功能、促进生态环境改善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优化绿金湖东岸规划，打造旅游、休闲、田园空间</w:t>
            </w:r>
          </w:p>
        </w:tc>
        <w:tc>
          <w:tcPr>
            <w:tcW w:w="4228" w:type="dxa"/>
            <w:gridSpan w:val="2"/>
            <w:tcBorders>
              <w:tl2br w:val="nil"/>
              <w:tr2bl w:val="nil"/>
            </w:tcBorders>
            <w:noWrap w:val="0"/>
            <w:vAlign w:val="center"/>
          </w:tcPr>
          <w:p>
            <w:pPr>
              <w:jc w:val="center"/>
              <w:rPr>
                <w:rFonts w:ascii="宋体" w:cs="宋体"/>
                <w:sz w:val="20"/>
              </w:rPr>
            </w:pPr>
            <w:r>
              <w:rPr>
                <w:rFonts w:hint="eastAsia" w:ascii="宋体" w:hAnsi="宋体" w:cs="宋体"/>
                <w:color w:val="000000"/>
                <w:kern w:val="0"/>
                <w:sz w:val="20"/>
                <w:szCs w:val="20"/>
                <w:lang w:eastAsia="zh-CN"/>
              </w:rPr>
              <w:t>优化绿金湖东岸规划，打造旅游、休闲、田园空间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征求意见数量</w:t>
            </w:r>
          </w:p>
        </w:tc>
        <w:tc>
          <w:tcPr>
            <w:tcW w:w="4228" w:type="dxa"/>
            <w:gridSpan w:val="2"/>
            <w:tcBorders>
              <w:tl2br w:val="nil"/>
              <w:tr2bl w:val="nil"/>
            </w:tcBorders>
            <w:noWrap w:val="0"/>
            <w:vAlign w:val="center"/>
          </w:tcPr>
          <w:p>
            <w:pPr>
              <w:jc w:val="center"/>
              <w:rPr>
                <w:rFonts w:hint="default" w:ascii="宋体" w:eastAsia="宋体" w:cs="宋体"/>
                <w:sz w:val="20"/>
                <w:lang w:val="en-US" w:eastAsia="zh-CN"/>
              </w:rPr>
            </w:pPr>
            <w:r>
              <w:rPr>
                <w:rFonts w:hint="eastAsia" w:ascii="宋体" w:cs="宋体"/>
                <w:sz w:val="20"/>
                <w:lang w:val="en-US" w:eastAsia="zh-CN"/>
              </w:rPr>
              <w:t>不少于100个</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淮北市国土空间基础信息平台建设项目</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要求充分利用云计算、物联网等新一代信息技术，遵循“互联网+”政务服务建设方针，并按照《安徽省自然资源电子政务建设项目—全省自然资源系统信息化提升行动（2018-2020 年）》的要求，实现了自然资源相关信息在动态更新机制下的统一建设，保证了各级自然资源和规划部门在统一的数据信息的基础上进行土地管理和决策，避免了基础数据持续的重复投资建设。对提高自然资源和规划部门的公共管理效率、降低自然资源和规划部门内部管理成本、增加自然资源和规划部门的产出以及提高民众对自然资源和规划部门公共服务的满意度等都将具有重要的意义。</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安徽省自然资源厅印发了《安徽省自然资源厅关于印发“全省自然资源系统信息化提升行动计划（2018-2020年）”的通知》（皖国土资【2018】61号）</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2024.01-2024.12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基于现有“一张图”建设成果，切实建成淮北市自然资源“一张图”、“一个平台（国土空间基础信息平台）”，并以此为基础构建自然资源调查监测评价、自然资源监管决策、“互联网+自然资源政务服务”三大应用体系。整个信息化进程采用“各负其责、集成整合、共建共享”的原则，建立信息化事前有计划、事中抓落实、事后做检查的工作机制。统筹安排网络安全与信息化项目，加强项目立项的论证、审核，避免重复建设。</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191.9万元。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淮北市国土空间基础信息平台建设项目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   及代码</w:t>
            </w:r>
          </w:p>
        </w:tc>
        <w:tc>
          <w:tcPr>
            <w:tcW w:w="3349"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w:t>
            </w:r>
            <w:r>
              <w:rPr>
                <w:rFonts w:hint="eastAsia" w:ascii="宋体" w:hAnsi="宋体" w:cs="宋体"/>
                <w:color w:val="000000"/>
                <w:kern w:val="0"/>
                <w:sz w:val="20"/>
                <w:szCs w:val="20"/>
                <w:lang w:eastAsia="zh-CN"/>
              </w:rPr>
              <w:t>淮北市自然资源和规划局</w:t>
            </w:r>
          </w:p>
        </w:tc>
        <w:tc>
          <w:tcPr>
            <w:tcW w:w="1848"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实施单位</w:t>
            </w:r>
          </w:p>
        </w:tc>
        <w:tc>
          <w:tcPr>
            <w:tcW w:w="2380"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349" w:type="dxa"/>
            <w:gridSpan w:val="2"/>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1-本级申报项目</w:t>
            </w:r>
          </w:p>
        </w:tc>
        <w:tc>
          <w:tcPr>
            <w:tcW w:w="1848" w:type="dxa"/>
            <w:noWrap w:val="0"/>
            <w:vAlign w:val="center"/>
          </w:tcPr>
          <w:p>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项目期</w:t>
            </w:r>
          </w:p>
        </w:tc>
        <w:tc>
          <w:tcPr>
            <w:tcW w:w="2380" w:type="dxa"/>
            <w:noWrap w:val="0"/>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年度资金总额：</w:t>
            </w:r>
          </w:p>
        </w:tc>
        <w:tc>
          <w:tcPr>
            <w:tcW w:w="4228" w:type="dxa"/>
            <w:gridSpan w:val="2"/>
            <w:noWrap w:val="0"/>
            <w:vAlign w:val="center"/>
          </w:tcPr>
          <w:p>
            <w:pPr>
              <w:jc w:val="right"/>
              <w:rPr>
                <w:rFonts w:hint="default" w:ascii="宋体" w:cs="宋体" w:eastAsiaTheme="minorEastAsia"/>
                <w:sz w:val="20"/>
                <w:lang w:val="en-US" w:eastAsia="zh-CN"/>
              </w:rPr>
            </w:pPr>
            <w:r>
              <w:rPr>
                <w:rFonts w:hint="eastAsia" w:ascii="宋体" w:cs="宋体"/>
                <w:sz w:val="20"/>
                <w:lang w:val="en-US" w:eastAsia="zh-CN"/>
              </w:rPr>
              <w:t>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其中：财政拨款</w:t>
            </w:r>
          </w:p>
        </w:tc>
        <w:tc>
          <w:tcPr>
            <w:tcW w:w="4228" w:type="dxa"/>
            <w:gridSpan w:val="2"/>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上年结转</w:t>
            </w:r>
          </w:p>
        </w:tc>
        <w:tc>
          <w:tcPr>
            <w:tcW w:w="4228" w:type="dxa"/>
            <w:gridSpan w:val="2"/>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cs="宋体"/>
                <w:color w:val="000000"/>
                <w:kern w:val="0"/>
                <w:sz w:val="20"/>
                <w:szCs w:val="20"/>
              </w:rPr>
              <w:t xml:space="preserve">         其他资金</w:t>
            </w:r>
          </w:p>
        </w:tc>
        <w:tc>
          <w:tcPr>
            <w:tcW w:w="4228" w:type="dxa"/>
            <w:gridSpan w:val="2"/>
            <w:noWrap w:val="0"/>
            <w:vAlign w:val="center"/>
          </w:tcPr>
          <w:p>
            <w:pPr>
              <w:jc w:val="right"/>
              <w:rPr>
                <w:rFonts w:hint="default" w:ascii="宋体" w:cs="宋体" w:eastAsiaTheme="minorEastAsia"/>
                <w:sz w:val="20"/>
                <w:lang w:val="en-US" w:eastAsia="zh-CN"/>
              </w:rPr>
            </w:pPr>
            <w:r>
              <w:rPr>
                <w:rFonts w:hint="eastAsia" w:ascii="宋体" w:cs="宋体"/>
                <w:sz w:val="20"/>
                <w:lang w:val="en-US" w:eastAsia="zh-CN"/>
              </w:rPr>
              <w:t>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ascii="宋体" w:cs="宋体"/>
                <w:sz w:val="20"/>
                <w:shd w:val="clear" w:color="auto" w:fill="auto"/>
              </w:rPr>
            </w:pPr>
            <w:r>
              <w:rPr>
                <w:rFonts w:hint="eastAsia" w:ascii="宋体" w:hAnsi="宋体" w:cs="宋体"/>
                <w:color w:val="000000"/>
                <w:kern w:val="0"/>
                <w:sz w:val="20"/>
                <w:szCs w:val="20"/>
                <w:shd w:val="clear" w:color="auto" w:fill="auto"/>
              </w:rPr>
              <w:t>年度</w:t>
            </w:r>
            <w:r>
              <w:rPr>
                <w:rFonts w:hint="eastAsia" w:ascii="宋体" w:hAnsi="宋体" w:cs="宋体"/>
                <w:color w:val="000000"/>
                <w:kern w:val="0"/>
                <w:sz w:val="20"/>
                <w:szCs w:val="20"/>
                <w:shd w:val="clear" w:color="auto" w:fill="auto"/>
              </w:rPr>
              <w:br w:type="textWrapping"/>
            </w:r>
            <w:r>
              <w:rPr>
                <w:rFonts w:hint="eastAsia" w:ascii="宋体" w:hAnsi="宋体" w:cs="宋体"/>
                <w:color w:val="000000"/>
                <w:kern w:val="0"/>
                <w:sz w:val="20"/>
                <w:szCs w:val="20"/>
                <w:shd w:val="clear" w:color="auto" w:fill="auto"/>
              </w:rPr>
              <w:t>目标</w:t>
            </w:r>
          </w:p>
        </w:tc>
        <w:tc>
          <w:tcPr>
            <w:tcW w:w="8582" w:type="dxa"/>
            <w:gridSpan w:val="6"/>
            <w:noWrap w:val="0"/>
            <w:vAlign w:val="center"/>
          </w:tcPr>
          <w:p>
            <w:pPr>
              <w:jc w:val="left"/>
              <w:rPr>
                <w:rFonts w:ascii="宋体" w:cs="宋体"/>
                <w:sz w:val="20"/>
                <w:shd w:val="clear" w:color="auto" w:fill="auto"/>
              </w:rPr>
            </w:pPr>
            <w:r>
              <w:rPr>
                <w:rFonts w:hint="eastAsia" w:ascii="宋体" w:cs="宋体"/>
                <w:sz w:val="20"/>
                <w:shd w:val="clear" w:color="auto" w:fill="auto"/>
              </w:rPr>
              <w:t>切实建成淮北市自然资源“一张图”、“一个平台（国土空间基础信息平台）”，并以此为基础构建自然资源调查监测评价、自然资源监管决策、“互联网+自然资源政务服务”三大应用体系。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723" w:type="dxa"/>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指标1：服务人数</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lang w:val="en-US" w:eastAsia="zh-CN"/>
              </w:rPr>
              <w:t>300人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val="en-US" w:eastAsia="zh-CN"/>
              </w:rPr>
              <w:t xml:space="preserve">项目完成质量         </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计划构建统一“自然资源云平台”架构，为各业务系统提供IT计算资源、网络资源、存储资源。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项目进度</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lang w:val="en-US" w:eastAsia="zh-CN"/>
              </w:rPr>
              <w:t>完成</w:t>
            </w:r>
            <w:r>
              <w:rPr>
                <w:rFonts w:hint="eastAsia" w:ascii="宋体" w:hAnsi="宋体" w:cs="宋体"/>
                <w:sz w:val="20"/>
                <w:lang w:eastAsia="zh-CN"/>
              </w:rPr>
              <w:t>国土空间基础信息平台建设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项目所需经费</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lang w:val="en-US" w:eastAsia="zh-CN"/>
              </w:rPr>
              <w:t>191.9万元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val="en-US" w:eastAsia="zh-CN"/>
              </w:rPr>
              <w:t>节约成本</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保证系统和数据库结构的弹性与可扩展性，系统和数据库的技术性能和质量指标达到国际先进水平。通过技术创新，提供先进的自然资源管理、共享和服务。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社会效益成本</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全面梳理淮北市自然资源和规划局现有业务流程，提出优化办理环节、压缩办理时限的建议。</w:t>
            </w:r>
          </w:p>
          <w:p>
            <w:pPr>
              <w:widowControl/>
              <w:spacing w:line="200" w:lineRule="exact"/>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生态效益成本</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rPr>
              <w:t>全面梳理淮北市自然资源和规划局现有业务流程，提出优化办理环节、压缩办理时限的建议。</w:t>
            </w:r>
          </w:p>
          <w:p>
            <w:pPr>
              <w:widowControl/>
              <w:spacing w:line="200" w:lineRule="exact"/>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可持续影响指标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w:t>
            </w:r>
            <w:r>
              <w:rPr>
                <w:rFonts w:hint="eastAsia" w:ascii="宋体" w:hAnsi="宋体" w:cs="宋体"/>
                <w:sz w:val="20"/>
                <w:lang w:eastAsia="zh-CN"/>
              </w:rPr>
              <w:t>项目可</w:t>
            </w:r>
            <w:r>
              <w:rPr>
                <w:rFonts w:hint="eastAsia" w:ascii="宋体" w:hAnsi="宋体" w:cs="宋体"/>
                <w:sz w:val="20"/>
              </w:rPr>
              <w:t>持续影响</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lang w:eastAsia="zh-CN"/>
              </w:rPr>
              <w:t>实现淮北市市各行业、各部门信息资源共享交换、推动淮北市市基础地理信息数据建设，促进城市发展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759" w:type="dxa"/>
            <w:gridSpan w:val="2"/>
            <w:noWrap w:val="0"/>
            <w:vAlign w:val="center"/>
          </w:tcPr>
          <w:p>
            <w:pPr>
              <w:widowControl/>
              <w:spacing w:line="200" w:lineRule="exact"/>
              <w:jc w:val="center"/>
              <w:rPr>
                <w:rFonts w:ascii="宋体" w:hAnsi="宋体" w:cs="宋体"/>
                <w:sz w:val="20"/>
              </w:rPr>
            </w:pPr>
            <w:r>
              <w:rPr>
                <w:rFonts w:hint="eastAsia" w:ascii="宋体" w:hAnsi="宋体" w:cs="宋体"/>
                <w:sz w:val="20"/>
              </w:rPr>
              <w:t>满意度指标</w:t>
            </w:r>
          </w:p>
        </w:tc>
        <w:tc>
          <w:tcPr>
            <w:tcW w:w="2872" w:type="dxa"/>
            <w:noWrap w:val="0"/>
            <w:vAlign w:val="center"/>
          </w:tcPr>
          <w:p>
            <w:pPr>
              <w:widowControl/>
              <w:spacing w:line="200" w:lineRule="exact"/>
              <w:jc w:val="center"/>
              <w:rPr>
                <w:rFonts w:hint="eastAsia" w:ascii="宋体" w:hAnsi="宋体" w:cs="宋体"/>
                <w:sz w:val="20"/>
              </w:rPr>
            </w:pPr>
            <w:r>
              <w:rPr>
                <w:rFonts w:hint="eastAsia" w:ascii="宋体" w:hAnsi="宋体" w:cs="宋体"/>
                <w:sz w:val="20"/>
              </w:rPr>
              <w:t>指标1：服务对象满意度</w:t>
            </w:r>
          </w:p>
        </w:tc>
        <w:tc>
          <w:tcPr>
            <w:tcW w:w="4228" w:type="dxa"/>
            <w:gridSpan w:val="2"/>
            <w:noWrap w:val="0"/>
            <w:vAlign w:val="center"/>
          </w:tcPr>
          <w:p>
            <w:pPr>
              <w:widowControl/>
              <w:spacing w:line="200" w:lineRule="exact"/>
              <w:jc w:val="center"/>
              <w:rPr>
                <w:rFonts w:hint="eastAsia" w:ascii="宋体" w:hAnsi="宋体" w:cs="宋体"/>
                <w:sz w:val="20"/>
              </w:rPr>
            </w:pPr>
            <w:r>
              <w:rPr>
                <w:rFonts w:hint="eastAsia" w:ascii="宋体" w:hAnsi="宋体" w:cs="宋体"/>
                <w:sz w:val="20"/>
                <w:lang w:eastAsia="zh-CN"/>
              </w:rPr>
              <w:t>满意度</w:t>
            </w:r>
            <w:r>
              <w:rPr>
                <w:rFonts w:hint="eastAsia" w:ascii="宋体" w:hAnsi="宋体" w:cs="宋体"/>
                <w:sz w:val="20"/>
                <w:lang w:val="en-US" w:eastAsia="zh-CN"/>
              </w:rPr>
              <w:t>100%</w:t>
            </w:r>
          </w:p>
        </w:tc>
      </w:tr>
    </w:tbl>
    <w:p>
      <w:pPr>
        <w:ind w:firstLine="640" w:firstLineChars="200"/>
        <w:rPr>
          <w:rFonts w:hint="eastAsia" w:ascii="TimesNewRoman" w:hAnsi="TimesNewRoman" w:eastAsia="仿宋_GB2312" w:cs="TimesNewRoman"/>
          <w:kern w:val="0"/>
          <w:sz w:val="32"/>
          <w:szCs w:val="32"/>
          <w:lang w:val="en-US" w:eastAsia="zh-CN"/>
        </w:rPr>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淮北市中湖矿山地质环境治理PPP项目</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1）项目概述。中湖治理购买服务费和后期养护费。中湖治理PPP项目是我市重点项目，采用PPP模式筹资治理，安徽建工集团为项目施工单位，项目已于2017年12月底完工，按照PPP协议，2024年度须支付购买服务费和后期养护费。</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（2）立项依据。《国土资源部地质环境保护规定》、《财政部、国土资源部关于实施矿山地质环境治理重点工程的通知》等。</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eastAsia="zh-CN"/>
        </w:rPr>
        <w:t>（4）起止时间。</w:t>
      </w:r>
      <w:r>
        <w:rPr>
          <w:rFonts w:hint="eastAsia" w:ascii="TimesNewRoman" w:hAnsi="TimesNewRoman" w:eastAsia="仿宋_GB2312" w:cs="TimesNewRoman"/>
          <w:kern w:val="0"/>
          <w:sz w:val="32"/>
          <w:szCs w:val="32"/>
          <w:lang w:val="en-US" w:eastAsia="zh-CN"/>
        </w:rPr>
        <w:t>2024.01-2024.11</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5）项目内容。完成中湖治理任务后，根据淮北市中湖矿山地质环境治理PPP项目PPP协议，支付PPP项目合作单位安徽建工集团淮北中湖项目公司政府购买服务费和后期养护服务费，履行协议约定的承诺，确保中湖治理的经济、社会、生态效益逐步显现。</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（6）年度预算安排。</w:t>
      </w:r>
      <w:r>
        <w:rPr>
          <w:rFonts w:hint="eastAsia" w:ascii="TimesNewRoman" w:hAnsi="TimesNewRoman" w:eastAsia="仿宋_GB2312" w:cs="TimesNewRoman"/>
          <w:kern w:val="0"/>
          <w:sz w:val="32"/>
          <w:szCs w:val="32"/>
          <w:lang w:val="en-US" w:eastAsia="zh-CN"/>
        </w:rPr>
        <w:t>1万元</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淮北市中湖矿山地质环境治理</w:t>
            </w:r>
            <w:r>
              <w:rPr>
                <w:rFonts w:hint="eastAsia" w:ascii="宋体" w:hAnsi="宋体" w:eastAsia="宋体" w:cs="宋体"/>
                <w:color w:val="000000"/>
                <w:kern w:val="0"/>
                <w:sz w:val="20"/>
                <w:szCs w:val="20"/>
                <w:lang w:val="en-US" w:eastAsia="zh-CN"/>
              </w:rPr>
              <w:t>PPP项目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201-</w:t>
            </w:r>
            <w:r>
              <w:rPr>
                <w:rFonts w:hint="eastAsia" w:ascii="宋体" w:hAnsi="宋体" w:eastAsia="宋体" w:cs="宋体"/>
                <w:color w:val="000000"/>
                <w:kern w:val="0"/>
                <w:sz w:val="20"/>
                <w:szCs w:val="20"/>
                <w:lang w:eastAsia="zh-CN"/>
              </w:rPr>
              <w:t>淮北市自然资源和规划局</w:t>
            </w:r>
          </w:p>
        </w:tc>
        <w:tc>
          <w:tcPr>
            <w:tcW w:w="1848"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1-本级申报项目</w:t>
            </w:r>
          </w:p>
        </w:tc>
        <w:tc>
          <w:tcPr>
            <w:tcW w:w="1848"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eastAsia"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hint="eastAsia" w:ascii="宋体" w:eastAsia="宋体" w:cs="宋体"/>
                <w:sz w:val="20"/>
                <w:lang w:val="en-US" w:eastAsia="zh-CN"/>
              </w:rPr>
            </w:pPr>
            <w:r>
              <w:rPr>
                <w:rFonts w:hint="eastAsia" w:ascii="宋体" w:cs="宋体"/>
                <w:sz w:val="20"/>
              </w:rPr>
              <w:t>要求PPP项目公司按中湖矿山地质环境治理PPP项目PPP协议，履行养护义务，达到养护标准</w:t>
            </w:r>
            <w:r>
              <w:rPr>
                <w:rFonts w:hint="eastAsia" w:ascii="宋体" w:cs="宋体"/>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指标1：治理养护面积</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对3.61万亩中湖治理区进行养护。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指标1：增强地质环境保护</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cs="宋体"/>
                <w:sz w:val="20"/>
              </w:rPr>
              <w:t>对3.61万亩治理区进行养护，达到养护标准。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指标1：任务完成及时性</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2024年度</w:t>
            </w:r>
            <w:r>
              <w:rPr>
                <w:rFonts w:hint="eastAsia" w:ascii="宋体" w:hAnsi="宋体" w:eastAsia="宋体" w:cs="宋体"/>
                <w:sz w:val="20"/>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指标1：项目总成本</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lang w:eastAsia="zh-CN"/>
              </w:rPr>
            </w:pPr>
            <w:r>
              <w:rPr>
                <w:rFonts w:hint="eastAsia" w:ascii="宋体" w:hAnsi="宋体" w:eastAsia="宋体" w:cs="宋体"/>
                <w:sz w:val="20"/>
                <w:lang w:eastAsia="zh-CN"/>
              </w:rPr>
              <w:t>根据合同约定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指标1：形成可出让土地面积及水域面积</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治理后形成8000亩可出让土地，总蓄水库容3594万立方。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指标1：提高地质灾害防治水平</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改善了项目区居民的生存条件，提高了土地利用率。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指标1：推动矿山生态修复工作发展</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治理了生态环境，改善了项目区小气候。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指标1：可持续发展能力</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治理后的项目区具更强的可持续发展能力。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指标1：群众满意度指标</w:t>
            </w:r>
          </w:p>
        </w:tc>
        <w:tc>
          <w:tcPr>
            <w:tcW w:w="4228"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项目区周边群众满意度高。</w:t>
            </w:r>
          </w:p>
        </w:tc>
      </w:tr>
    </w:tbl>
    <w:p>
      <w:pPr>
        <w:ind w:firstLine="640" w:firstLineChars="200"/>
        <w:rPr>
          <w:rFonts w:ascii="TimesNewRoman" w:hAnsi="TimesNewRoman" w:eastAsia="仿宋_GB2312" w:cs="TimesNewRoman"/>
          <w:kern w:val="0"/>
          <w:sz w:val="32"/>
          <w:szCs w:val="32"/>
        </w:rPr>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博士后课题研究项目经费、管理经费</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1）项目概述。2019年8月，安徽省人力资源和社会保障厅下发了《关于批准国网安徽省电力有限公司等69个单位设立第十批省级博士后科研工作站的通知》（皖人社秘〔2019〕221号），淮北市土地复垦整理中心（采煤塌陷区综合治理办公室）博士后科研工作站正式批准设立，这也是安徽省自然资源系统第一家博士后科研工作站</w:t>
      </w:r>
      <w:r>
        <w:rPr>
          <w:rFonts w:hint="eastAsia" w:ascii="TimesNewRoman" w:hAnsi="TimesNewRoman" w:eastAsia="仿宋_GB2312" w:cs="TimesNewRoman"/>
          <w:kern w:val="0"/>
          <w:sz w:val="32"/>
          <w:szCs w:val="32"/>
          <w:lang w:val="en-US"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立项依据。《企业博士后工作管理暂行规定》、《安徽省博士后管理工作规定》、《关于批准国网安徽省电力有限公司等69个单位设立第十批省级博士后科研工作站的通知》和《关于开展2020年度省级博士后科研工作站评估工作的通知》。</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（3）实施主体：淮北市自然资源和规划局</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eastAsia="zh-CN"/>
        </w:rPr>
        <w:t>（4）起止时间：202</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4.11</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（5）项目内容。</w:t>
      </w:r>
      <w:r>
        <w:rPr>
          <w:rFonts w:hint="eastAsia" w:ascii="TimesNewRoman" w:hAnsi="TimesNewRoman" w:eastAsia="仿宋_GB2312" w:cs="TimesNewRoman"/>
          <w:kern w:val="0"/>
          <w:sz w:val="32"/>
          <w:szCs w:val="32"/>
          <w:lang w:val="en-US" w:eastAsia="zh-CN"/>
        </w:rPr>
        <w:t>评估淮北市资源枯竭型城市矿山地质环境治理重点项目的生态、经济价值，并予以显化，体现治理效益。对中心湖带的生态价值进行评估，利用多种手段和措施优化中心湖带的周边的生态环境，为周围乃至全市居民提供一个良好的休憩地带</w:t>
      </w:r>
      <w:r>
        <w:rPr>
          <w:rFonts w:hint="default" w:ascii="TimesNewRoman" w:hAnsi="TimesNewRoman" w:eastAsia="仿宋_GB2312" w:cs="TimesNewRoman"/>
          <w:kern w:val="0"/>
          <w:sz w:val="32"/>
          <w:szCs w:val="32"/>
          <w:lang w:val="en-US"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（6）年度预算安排：</w:t>
      </w:r>
      <w:r>
        <w:rPr>
          <w:rFonts w:hint="eastAsia" w:ascii="TimesNewRoman" w:hAnsi="TimesNewRoman" w:eastAsia="仿宋_GB2312" w:cs="TimesNewRoman"/>
          <w:kern w:val="0"/>
          <w:sz w:val="32"/>
          <w:szCs w:val="32"/>
          <w:lang w:val="en-US" w:eastAsia="zh-CN"/>
        </w:rPr>
        <w:t>11.2</w:t>
      </w:r>
      <w:r>
        <w:rPr>
          <w:rFonts w:hint="eastAsia" w:ascii="TimesNewRoman" w:hAnsi="TimesNewRoman" w:eastAsia="仿宋_GB2312" w:cs="TimesNewRoman"/>
          <w:kern w:val="0"/>
          <w:sz w:val="32"/>
          <w:szCs w:val="32"/>
          <w:lang w:eastAsia="zh-CN"/>
        </w:rPr>
        <w:t>万元</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（7）绩效目标。</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博士后课题研究项目经费、管理经费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201-</w:t>
            </w:r>
            <w:r>
              <w:rPr>
                <w:rFonts w:hint="eastAsia" w:ascii="宋体" w:hAnsi="宋体" w:eastAsia="宋体" w:cs="宋体"/>
                <w:color w:val="000000"/>
                <w:kern w:val="0"/>
                <w:sz w:val="20"/>
                <w:szCs w:val="20"/>
                <w:lang w:eastAsia="zh-CN"/>
              </w:rPr>
              <w:t>淮北市自然资源和规划局</w:t>
            </w:r>
          </w:p>
        </w:tc>
        <w:tc>
          <w:tcPr>
            <w:tcW w:w="184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1-本级申报项目</w:t>
            </w:r>
          </w:p>
        </w:tc>
        <w:tc>
          <w:tcPr>
            <w:tcW w:w="184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取得淮北市自然资源和规划局、安徽大学共同认可的突出科研业绩或成果转化实效。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论文数量、科研成果</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博士后人员在中文核心期刊上发表学术论文不少于2篇或发表被SCI、EI收录论文不少于2篇。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项目完成质量</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中文核心期刊、</w:t>
            </w:r>
            <w:r>
              <w:rPr>
                <w:rFonts w:hint="eastAsia" w:ascii="宋体" w:hAnsi="宋体" w:eastAsia="宋体" w:cs="宋体"/>
                <w:color w:val="000000"/>
                <w:kern w:val="0"/>
                <w:sz w:val="20"/>
                <w:szCs w:val="20"/>
                <w:lang w:val="en-US" w:eastAsia="zh-CN"/>
              </w:rPr>
              <w:t>SCI、EI收录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项目进度</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2年</w:t>
            </w:r>
            <w:r>
              <w:rPr>
                <w:rFonts w:hint="eastAsia" w:ascii="宋体" w:hAnsi="宋体" w:eastAsia="宋体" w:cs="宋体"/>
                <w:color w:val="000000"/>
                <w:kern w:val="0"/>
                <w:sz w:val="20"/>
                <w:szCs w:val="20"/>
                <w:lang w:eastAsia="zh-CN"/>
              </w:rPr>
              <w:t>在站工作时间，目前已完成开题报告和中期成果报告，并经专家审查，经修改后统一成果合格。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指标1：项目所需经费</w:t>
            </w:r>
          </w:p>
        </w:tc>
        <w:tc>
          <w:tcPr>
            <w:tcW w:w="4228" w:type="dxa"/>
            <w:gridSpan w:val="2"/>
            <w:tcBorders>
              <w:tl2br w:val="nil"/>
              <w:tr2bl w:val="nil"/>
            </w:tcBorders>
            <w:noWrap w:val="0"/>
            <w:vAlign w:val="center"/>
          </w:tcPr>
          <w:p>
            <w:pPr>
              <w:widowControl/>
              <w:spacing w:line="200" w:lineRule="exact"/>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成果转化</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取得甲方、乙方共同认可的突出科研业绩或成果转化实效。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研究成果对后续治理的带动作用</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通过对采煤塌陷区治理方法研究为治理工作提供指导。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生态环境改善效果的促进作用</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维持生态平稳发展</w:t>
            </w:r>
            <w:r>
              <w:rPr>
                <w:rFonts w:hint="eastAsia" w:ascii="宋体" w:hAnsi="宋体" w:eastAsia="宋体" w:cs="宋体"/>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可持续发展能力</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通过对采煤塌陷区治理提供采煤塌陷区土地的持续产出能力。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满意度指标</w:t>
            </w:r>
          </w:p>
        </w:tc>
        <w:tc>
          <w:tcPr>
            <w:tcW w:w="2872"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群众满意度</w:t>
            </w:r>
          </w:p>
        </w:tc>
        <w:tc>
          <w:tcPr>
            <w:tcW w:w="4228"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周边群众的满意度。</w:t>
            </w:r>
          </w:p>
        </w:tc>
      </w:tr>
    </w:tbl>
    <w:p>
      <w:pPr>
        <w:adjustRightInd w:val="0"/>
        <w:snapToGrid w:val="0"/>
        <w:spacing w:line="580" w:lineRule="exact"/>
        <w:ind w:firstLine="643" w:firstLineChars="200"/>
        <w:rPr>
          <w:rFonts w:hint="eastAsia" w:ascii="TimesNewRoman" w:hAnsi="TimesNewRoman" w:eastAsia="仿宋_GB2312" w:cs="TimesNewRoman"/>
          <w:b/>
          <w:sz w:val="32"/>
          <w:szCs w:val="32"/>
        </w:rPr>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2024年机关运行经费财政拨款预算</w:t>
      </w:r>
      <w:r>
        <w:rPr>
          <w:rFonts w:hint="eastAsia" w:ascii="TimesNewRoman" w:hAnsi="TimesNewRoman" w:eastAsia="仿宋_GB2312" w:cs="TimesNewRoman"/>
          <w:kern w:val="0"/>
          <w:sz w:val="32"/>
          <w:szCs w:val="32"/>
          <w:lang w:val="en-US" w:eastAsia="zh-CN"/>
        </w:rPr>
        <w:t>175.61</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2.04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1.18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w:t>
      </w:r>
      <w:r>
        <w:rPr>
          <w:rFonts w:hint="eastAsia" w:ascii="TimesNewRoman" w:hAnsi="TimesNewRoman" w:eastAsia="仿宋_GB2312" w:cs="TimesNewRoman"/>
          <w:kern w:val="0"/>
          <w:sz w:val="32"/>
          <w:szCs w:val="32"/>
        </w:rPr>
        <w:t>。</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200.1</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200.1</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辆，其中：</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其他用车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自然资源和规划局本级</w:t>
      </w:r>
      <w:r>
        <w:rPr>
          <w:rFonts w:hint="eastAsia" w:ascii="TimesNewRoman" w:hAnsi="TimesNewRoman" w:eastAsia="仿宋_GB2312" w:cs="TimesNewRoman"/>
          <w:kern w:val="0"/>
          <w:sz w:val="32"/>
          <w:szCs w:val="32"/>
          <w:lang w:val="en-US" w:eastAsia="zh-CN"/>
        </w:rPr>
        <w:t>19</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1377.64</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reeSerif">
    <w:altName w:val="Times New Roman"/>
    <w:panose1 w:val="02020603050405020304"/>
    <w:charset w:val="00"/>
    <w:family w:val="auto"/>
    <w:pitch w:val="default"/>
    <w:sig w:usb0="00000000" w:usb1="00000000" w:usb2="43501B29" w:usb3="04000043" w:csb0="600101FF" w:csb1="FFFF0000"/>
  </w:font>
  <w:font w:name="CESI黑体-GB2312">
    <w:altName w:val="黑体"/>
    <w:panose1 w:val="02000500000000000000"/>
    <w:charset w:val="86"/>
    <w:family w:val="auto"/>
    <w:pitch w:val="default"/>
    <w:sig w:usb0="00000000" w:usb1="00000000" w:usb2="00000012" w:usb3="00000000" w:csb0="0004000F" w:csb1="00000000"/>
  </w:font>
  <w:font w:name="方正仿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43142C"/>
    <w:multiLevelType w:val="singleLevel"/>
    <w:tmpl w:val="AE43142C"/>
    <w:lvl w:ilvl="0" w:tentative="0">
      <w:start w:val="13"/>
      <w:numFmt w:val="decimal"/>
      <w:suff w:val="nothing"/>
      <w:lvlText w:val="%1、"/>
      <w:lvlJc w:val="left"/>
    </w:lvl>
  </w:abstractNum>
  <w:abstractNum w:abstractNumId="1">
    <w:nsid w:val="2A7BD06D"/>
    <w:multiLevelType w:val="singleLevel"/>
    <w:tmpl w:val="2A7BD06D"/>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1176DD"/>
    <w:rsid w:val="00267E33"/>
    <w:rsid w:val="004A4DC6"/>
    <w:rsid w:val="0057562B"/>
    <w:rsid w:val="006546AF"/>
    <w:rsid w:val="00681430"/>
    <w:rsid w:val="00726D96"/>
    <w:rsid w:val="008F6D1A"/>
    <w:rsid w:val="009A3CA3"/>
    <w:rsid w:val="00AE3242"/>
    <w:rsid w:val="00BD640A"/>
    <w:rsid w:val="00DB2A5C"/>
    <w:rsid w:val="00E907C4"/>
    <w:rsid w:val="00EC7755"/>
    <w:rsid w:val="00F974AD"/>
    <w:rsid w:val="01412BE4"/>
    <w:rsid w:val="044D065F"/>
    <w:rsid w:val="0450282D"/>
    <w:rsid w:val="046F3D7C"/>
    <w:rsid w:val="072C6DCD"/>
    <w:rsid w:val="07C87918"/>
    <w:rsid w:val="0BD76122"/>
    <w:rsid w:val="0CF3673D"/>
    <w:rsid w:val="0D3701AA"/>
    <w:rsid w:val="0D4950AD"/>
    <w:rsid w:val="0DB676C1"/>
    <w:rsid w:val="0E1801C4"/>
    <w:rsid w:val="13B55B35"/>
    <w:rsid w:val="142D3271"/>
    <w:rsid w:val="15BA297A"/>
    <w:rsid w:val="16CB0BBC"/>
    <w:rsid w:val="16DB3536"/>
    <w:rsid w:val="17C730AA"/>
    <w:rsid w:val="17FD1025"/>
    <w:rsid w:val="188017BF"/>
    <w:rsid w:val="189C50BB"/>
    <w:rsid w:val="18F823A5"/>
    <w:rsid w:val="1A2266F4"/>
    <w:rsid w:val="1C4D3282"/>
    <w:rsid w:val="1CF90A2D"/>
    <w:rsid w:val="1F9C262B"/>
    <w:rsid w:val="1FF516DD"/>
    <w:rsid w:val="207656E1"/>
    <w:rsid w:val="21101D5C"/>
    <w:rsid w:val="22112F89"/>
    <w:rsid w:val="22123F68"/>
    <w:rsid w:val="22A83E06"/>
    <w:rsid w:val="251B68D3"/>
    <w:rsid w:val="269A3E8C"/>
    <w:rsid w:val="2783324A"/>
    <w:rsid w:val="284921BE"/>
    <w:rsid w:val="2A1E6E9F"/>
    <w:rsid w:val="2BEE3840"/>
    <w:rsid w:val="32096F80"/>
    <w:rsid w:val="333B1632"/>
    <w:rsid w:val="34847643"/>
    <w:rsid w:val="390F3481"/>
    <w:rsid w:val="3A08635E"/>
    <w:rsid w:val="3A6A2C9D"/>
    <w:rsid w:val="3BC7611D"/>
    <w:rsid w:val="3BD35921"/>
    <w:rsid w:val="3C6D7964"/>
    <w:rsid w:val="3EC85E63"/>
    <w:rsid w:val="3ED24FC9"/>
    <w:rsid w:val="3EDC25B2"/>
    <w:rsid w:val="410F3504"/>
    <w:rsid w:val="41155B37"/>
    <w:rsid w:val="428017C3"/>
    <w:rsid w:val="443839F0"/>
    <w:rsid w:val="4483577A"/>
    <w:rsid w:val="45692AA4"/>
    <w:rsid w:val="471A5FEC"/>
    <w:rsid w:val="49370F23"/>
    <w:rsid w:val="494A1C60"/>
    <w:rsid w:val="49756D84"/>
    <w:rsid w:val="4A4B1BC7"/>
    <w:rsid w:val="4BEB5CC0"/>
    <w:rsid w:val="4DB62A12"/>
    <w:rsid w:val="4E2E38AD"/>
    <w:rsid w:val="4F56791E"/>
    <w:rsid w:val="503108E1"/>
    <w:rsid w:val="51DD0899"/>
    <w:rsid w:val="53A01AF9"/>
    <w:rsid w:val="54156F3B"/>
    <w:rsid w:val="541F6123"/>
    <w:rsid w:val="54955832"/>
    <w:rsid w:val="557A696C"/>
    <w:rsid w:val="565F6557"/>
    <w:rsid w:val="58D151A3"/>
    <w:rsid w:val="59577E59"/>
    <w:rsid w:val="59F700D7"/>
    <w:rsid w:val="5A4442D2"/>
    <w:rsid w:val="5C882DB7"/>
    <w:rsid w:val="5F1B70C7"/>
    <w:rsid w:val="617B636B"/>
    <w:rsid w:val="61AB146D"/>
    <w:rsid w:val="62293AC4"/>
    <w:rsid w:val="62AB2CDB"/>
    <w:rsid w:val="62BB3DE9"/>
    <w:rsid w:val="62D96B92"/>
    <w:rsid w:val="63A34FEE"/>
    <w:rsid w:val="65CA125A"/>
    <w:rsid w:val="662E29A5"/>
    <w:rsid w:val="66F93C1D"/>
    <w:rsid w:val="67D5449C"/>
    <w:rsid w:val="68820AAA"/>
    <w:rsid w:val="696B3A83"/>
    <w:rsid w:val="6ADA76EA"/>
    <w:rsid w:val="6CEF2261"/>
    <w:rsid w:val="70103D56"/>
    <w:rsid w:val="71880603"/>
    <w:rsid w:val="738C1D2C"/>
    <w:rsid w:val="73B158FE"/>
    <w:rsid w:val="740D27FC"/>
    <w:rsid w:val="76094354"/>
    <w:rsid w:val="775926DF"/>
    <w:rsid w:val="7B385E4B"/>
    <w:rsid w:val="7C900D9E"/>
    <w:rsid w:val="7CD644E1"/>
    <w:rsid w:val="7D7B13FC"/>
    <w:rsid w:val="7F7D4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正文2"/>
    <w:basedOn w:val="1"/>
    <w:next w:val="1"/>
    <w:qFormat/>
    <w:uiPriority w:val="0"/>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1</TotalTime>
  <ScaleCrop>false</ScaleCrop>
  <LinksUpToDate>false</LinksUpToDate>
  <CharactersWithSpaces>6578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2024-12-12T07:26:40Z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