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44"/>
          <w:szCs w:val="44"/>
          <w:lang w:eastAsia="zh-CN"/>
        </w:rPr>
      </w:pP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方正小标宋_GBK" w:hAnsi="Arial" w:eastAsia="方正小标宋_GBK" w:cs="Arial"/>
          <w:sz w:val="44"/>
          <w:szCs w:val="44"/>
          <w:lang w:eastAsia="zh-CN"/>
        </w:rPr>
      </w:pPr>
      <w:r>
        <w:rPr>
          <w:rFonts w:hint="eastAsia" w:ascii="方正小标宋_GBK" w:hAnsi="Arial" w:eastAsia="方正小标宋_GBK" w:cs="Arial"/>
          <w:sz w:val="44"/>
          <w:szCs w:val="44"/>
          <w:lang w:val="en-US" w:eastAsia="zh-CN"/>
        </w:rPr>
        <w:t>2023年度</w:t>
      </w:r>
      <w:r>
        <w:rPr>
          <w:rFonts w:hint="eastAsia" w:ascii="方正小标宋_GBK" w:hAnsi="Arial" w:eastAsia="方正小标宋_GBK" w:cs="Arial"/>
          <w:sz w:val="44"/>
          <w:szCs w:val="44"/>
          <w:lang w:eastAsia="zh-CN"/>
        </w:rPr>
        <w:t>淮北市中湖矿山地质环境治理</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ascii="方正小标宋_GBK" w:eastAsia="方正小标宋_GBK"/>
          <w:sz w:val="44"/>
          <w:szCs w:val="44"/>
        </w:rPr>
      </w:pPr>
      <w:r>
        <w:rPr>
          <w:rFonts w:hint="eastAsia" w:ascii="方正小标宋_GBK" w:hAnsi="Arial" w:eastAsia="方正小标宋_GBK" w:cs="Arial"/>
          <w:sz w:val="44"/>
          <w:szCs w:val="44"/>
          <w:lang w:val="en-US" w:eastAsia="zh-CN"/>
        </w:rPr>
        <w:t>ppp</w:t>
      </w:r>
      <w:r>
        <w:rPr>
          <w:rFonts w:hint="eastAsia" w:ascii="方正小标宋_GBK" w:hAnsi="Arial" w:eastAsia="方正小标宋_GBK" w:cs="Arial"/>
          <w:sz w:val="44"/>
          <w:szCs w:val="44"/>
        </w:rPr>
        <w:t>项目绩效评价报告</w:t>
      </w:r>
    </w:p>
    <w:p>
      <w:pPr>
        <w:jc w:val="center"/>
        <w:rPr>
          <w:rFonts w:ascii="仿宋_GB2312" w:hAnsi="Times New Roman" w:eastAsia="仿宋_GB2312" w:cs="Times New Roman"/>
          <w:sz w:val="30"/>
          <w:szCs w:val="24"/>
        </w:rPr>
      </w:pPr>
    </w:p>
    <w:p>
      <w:pPr>
        <w:jc w:val="center"/>
        <w:rPr>
          <w:rFonts w:ascii="仿宋_GB2312" w:hAnsi="Times New Roman" w:eastAsia="仿宋_GB2312" w:cs="Times New Roman"/>
          <w:sz w:val="30"/>
          <w:szCs w:val="30"/>
        </w:rPr>
      </w:pPr>
    </w:p>
    <w:p>
      <w:pPr>
        <w:spacing w:line="600" w:lineRule="exact"/>
        <w:ind w:firstLine="600" w:firstLineChars="200"/>
        <w:rPr>
          <w:rFonts w:ascii="黑体" w:hAnsi="黑体" w:eastAsia="黑体" w:cs="Times New Roman"/>
          <w:sz w:val="30"/>
          <w:szCs w:val="24"/>
        </w:rPr>
      </w:pPr>
      <w:r>
        <w:rPr>
          <w:rFonts w:hint="eastAsia" w:ascii="黑体" w:hAnsi="黑体" w:eastAsia="黑体" w:cs="Times New Roman"/>
          <w:sz w:val="30"/>
          <w:szCs w:val="24"/>
        </w:rPr>
        <w:t>一、</w:t>
      </w:r>
      <w:r>
        <w:rPr>
          <w:rFonts w:hint="eastAsia" w:ascii="黑体" w:hAnsi="黑体" w:eastAsia="黑体" w:cs="Times New Roman"/>
          <w:sz w:val="30"/>
          <w:szCs w:val="24"/>
          <w:lang w:eastAsia="zh-CN"/>
        </w:rPr>
        <w:t>项目</w:t>
      </w:r>
      <w:r>
        <w:rPr>
          <w:rFonts w:hint="eastAsia" w:ascii="黑体" w:hAnsi="黑体" w:eastAsia="黑体" w:cs="Times New Roman"/>
          <w:sz w:val="30"/>
          <w:szCs w:val="24"/>
        </w:rPr>
        <w:t>基本情况</w:t>
      </w:r>
    </w:p>
    <w:p>
      <w:pPr>
        <w:spacing w:line="600" w:lineRule="exact"/>
        <w:ind w:firstLine="640" w:firstLineChars="200"/>
        <w:rPr>
          <w:rFonts w:hint="default" w:ascii="仿宋_GB2312" w:hAnsi="Times New Roman" w:eastAsia="仿宋" w:cs="Times New Roman"/>
          <w:sz w:val="30"/>
          <w:szCs w:val="24"/>
          <w:lang w:val="en-US" w:eastAsia="zh-CN"/>
        </w:rPr>
      </w:pPr>
      <w:r>
        <w:rPr>
          <w:rFonts w:hint="eastAsia" w:ascii="仿宋" w:hAnsi="仿宋" w:eastAsia="仿宋"/>
          <w:sz w:val="32"/>
          <w:szCs w:val="32"/>
          <w:lang w:eastAsia="zh-CN"/>
        </w:rPr>
        <w:t>（一）项目概况。</w:t>
      </w:r>
      <w:r>
        <w:rPr>
          <w:rFonts w:hint="eastAsia" w:ascii="仿宋" w:hAnsi="仿宋" w:eastAsia="仿宋"/>
          <w:sz w:val="32"/>
          <w:szCs w:val="32"/>
        </w:rPr>
        <w:t>淮北资源枯竭型城市矿山地质环境治理重点项目是</w:t>
      </w:r>
      <w:r>
        <w:rPr>
          <w:rFonts w:ascii="仿宋" w:hAnsi="仿宋" w:eastAsia="仿宋"/>
          <w:sz w:val="32"/>
          <w:szCs w:val="32"/>
        </w:rPr>
        <w:t>2010</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经国土资源部、财政部批准的国家级矿山地质环境治理重点项目。项目共分三期实施，省厅设计批复总治理面积35497.7亩，主要包括东湖、中湖、百善治理区、刘桥治理区四大分区。项目于2011年开始分期分批实施，201</w:t>
      </w:r>
      <w:r>
        <w:rPr>
          <w:rFonts w:hint="eastAsia" w:ascii="仿宋" w:hAnsi="仿宋" w:eastAsia="仿宋"/>
          <w:sz w:val="32"/>
          <w:szCs w:val="32"/>
          <w:lang w:val="en-US" w:eastAsia="zh-CN"/>
        </w:rPr>
        <w:t>7</w:t>
      </w:r>
      <w:r>
        <w:rPr>
          <w:rFonts w:hint="eastAsia" w:ascii="仿宋" w:hAnsi="仿宋" w:eastAsia="仿宋"/>
          <w:sz w:val="32"/>
          <w:szCs w:val="32"/>
        </w:rPr>
        <w:t>年全部竣工并通过市级验收。2019年12月份通过省级验收。</w:t>
      </w:r>
      <w:r>
        <w:rPr>
          <w:rFonts w:hint="eastAsia" w:ascii="仿宋" w:hAnsi="仿宋" w:eastAsia="仿宋"/>
          <w:sz w:val="32"/>
          <w:szCs w:val="32"/>
          <w:lang w:eastAsia="zh-CN"/>
        </w:rPr>
        <w:t>其中中湖矿山治理</w:t>
      </w:r>
      <w:r>
        <w:rPr>
          <w:rFonts w:hint="eastAsia" w:ascii="仿宋" w:hAnsi="仿宋" w:eastAsia="仿宋"/>
          <w:sz w:val="32"/>
          <w:szCs w:val="32"/>
          <w:lang w:val="en-US" w:eastAsia="zh-CN"/>
        </w:rPr>
        <w:t>PPP项目</w:t>
      </w:r>
      <w:r>
        <w:rPr>
          <w:rFonts w:hint="eastAsia" w:ascii="仿宋" w:hAnsi="仿宋" w:eastAsia="仿宋"/>
          <w:sz w:val="32"/>
          <w:szCs w:val="32"/>
        </w:rPr>
        <w:t>实际投入资金</w:t>
      </w:r>
      <w:r>
        <w:rPr>
          <w:rFonts w:hint="eastAsia" w:ascii="仿宋" w:hAnsi="仿宋" w:eastAsia="仿宋"/>
          <w:sz w:val="32"/>
          <w:szCs w:val="32"/>
          <w:lang w:val="en-US" w:eastAsia="zh-CN"/>
        </w:rPr>
        <w:t>22.2498</w:t>
      </w:r>
      <w:r>
        <w:rPr>
          <w:rFonts w:hint="eastAsia" w:ascii="仿宋" w:hAnsi="仿宋" w:eastAsia="仿宋"/>
          <w:sz w:val="32"/>
          <w:szCs w:val="32"/>
        </w:rPr>
        <w:t>亿元</w:t>
      </w:r>
      <w:r>
        <w:rPr>
          <w:rFonts w:hint="eastAsia" w:ascii="仿宋" w:hAnsi="仿宋" w:eastAsia="仿宋"/>
          <w:sz w:val="32"/>
          <w:szCs w:val="32"/>
          <w:lang w:eastAsia="zh-CN"/>
        </w:rPr>
        <w:t>，</w:t>
      </w:r>
      <w:r>
        <w:rPr>
          <w:rFonts w:hint="eastAsia" w:ascii="仿宋" w:hAnsi="仿宋" w:eastAsia="仿宋"/>
          <w:sz w:val="32"/>
          <w:szCs w:val="32"/>
        </w:rPr>
        <w:t>总计完成治理面积</w:t>
      </w:r>
      <w:r>
        <w:rPr>
          <w:rFonts w:hint="eastAsia" w:ascii="仿宋" w:hAnsi="仿宋" w:eastAsia="仿宋"/>
          <w:sz w:val="32"/>
          <w:szCs w:val="32"/>
          <w:lang w:val="en-US" w:eastAsia="zh-CN"/>
        </w:rPr>
        <w:t>3.61万</w:t>
      </w:r>
      <w:r>
        <w:rPr>
          <w:rFonts w:hint="eastAsia" w:ascii="仿宋" w:hAnsi="仿宋" w:eastAsia="仿宋"/>
          <w:sz w:val="32"/>
          <w:szCs w:val="32"/>
        </w:rPr>
        <w:t>亩，治理形成可利用土地2</w:t>
      </w:r>
      <w:r>
        <w:rPr>
          <w:rFonts w:hint="eastAsia" w:ascii="仿宋" w:hAnsi="仿宋" w:eastAsia="仿宋"/>
          <w:sz w:val="32"/>
          <w:szCs w:val="32"/>
          <w:lang w:val="en-US" w:eastAsia="zh-CN"/>
        </w:rPr>
        <w:t>.45万</w:t>
      </w:r>
      <w:r>
        <w:rPr>
          <w:rFonts w:hint="eastAsia" w:ascii="仿宋" w:hAnsi="仿宋" w:eastAsia="仿宋"/>
          <w:sz w:val="32"/>
          <w:szCs w:val="32"/>
        </w:rPr>
        <w:t>亩，可利用水域</w:t>
      </w:r>
      <w:r>
        <w:rPr>
          <w:rFonts w:ascii="仿宋" w:hAnsi="仿宋" w:eastAsia="仿宋"/>
          <w:sz w:val="32"/>
          <w:szCs w:val="32"/>
        </w:rPr>
        <w:t>1</w:t>
      </w:r>
      <w:r>
        <w:rPr>
          <w:rFonts w:hint="eastAsia" w:ascii="仿宋" w:hAnsi="仿宋" w:eastAsia="仿宋"/>
          <w:sz w:val="32"/>
          <w:szCs w:val="32"/>
          <w:lang w:val="en-US" w:eastAsia="zh-CN"/>
        </w:rPr>
        <w:t>.16万</w:t>
      </w:r>
      <w:r>
        <w:rPr>
          <w:rFonts w:hint="eastAsia" w:ascii="仿宋" w:hAnsi="仿宋" w:eastAsia="仿宋"/>
          <w:sz w:val="32"/>
          <w:szCs w:val="32"/>
        </w:rPr>
        <w:t>亩。</w:t>
      </w:r>
      <w:r>
        <w:rPr>
          <w:rFonts w:hint="eastAsia" w:ascii="仿宋" w:hAnsi="仿宋" w:eastAsia="仿宋"/>
          <w:sz w:val="32"/>
          <w:szCs w:val="32"/>
          <w:lang w:eastAsia="zh-CN"/>
        </w:rPr>
        <w:t>按照项目</w:t>
      </w:r>
      <w:r>
        <w:rPr>
          <w:rFonts w:hint="eastAsia" w:ascii="仿宋" w:hAnsi="仿宋" w:eastAsia="仿宋"/>
          <w:sz w:val="32"/>
          <w:szCs w:val="32"/>
          <w:lang w:val="en-US" w:eastAsia="zh-CN"/>
        </w:rPr>
        <w:t>PPP协议，每年支付的政府购买服务费</w:t>
      </w:r>
      <w:r>
        <w:rPr>
          <w:rFonts w:hint="eastAsia" w:ascii="仿宋" w:hAnsi="仿宋" w:eastAsia="仿宋"/>
          <w:spacing w:val="-12"/>
          <w:sz w:val="32"/>
          <w:szCs w:val="32"/>
        </w:rPr>
        <w:t>根据公式A=</w:t>
      </w:r>
      <m:oMath>
        <m:f>
          <m:fPr>
            <m:ctrlPr>
              <w:rPr>
                <w:rFonts w:ascii="Cambria Math" w:hAnsi="Cambria Math" w:eastAsia="仿宋"/>
                <w:spacing w:val="-12"/>
                <w:sz w:val="32"/>
                <w:szCs w:val="32"/>
              </w:rPr>
            </m:ctrlPr>
          </m:fPr>
          <m:num>
            <m:sSup>
              <m:sSupPr>
                <m:ctrlPr>
                  <w:rPr>
                    <w:rFonts w:ascii="Cambria Math" w:hAnsi="Cambria Math" w:eastAsia="仿宋" w:cs="Cambria Math"/>
                    <w:spacing w:val="-12"/>
                    <w:sz w:val="32"/>
                    <w:szCs w:val="32"/>
                  </w:rPr>
                </m:ctrlPr>
              </m:sSupPr>
              <m:e>
                <m:r>
                  <m:rPr>
                    <m:sty m:val="p"/>
                  </m:rPr>
                  <w:rPr>
                    <w:rFonts w:ascii="Cambria Math" w:hAnsi="Cambria Math" w:eastAsia="仿宋" w:cs="Cambria Math"/>
                    <w:spacing w:val="-12"/>
                    <w:sz w:val="32"/>
                    <w:szCs w:val="32"/>
                  </w:rPr>
                  <m:t>P∗i∗(1+i)</m:t>
                </m:r>
                <m:ctrlPr>
                  <w:rPr>
                    <w:rFonts w:ascii="Cambria Math" w:hAnsi="Cambria Math" w:eastAsia="仿宋" w:cs="Cambria Math"/>
                    <w:spacing w:val="-12"/>
                    <w:sz w:val="32"/>
                    <w:szCs w:val="32"/>
                  </w:rPr>
                </m:ctrlPr>
              </m:e>
              <m:sup>
                <m:r>
                  <m:rPr>
                    <m:sty m:val="p"/>
                  </m:rPr>
                  <w:rPr>
                    <w:rFonts w:ascii="Cambria Math" w:hAnsi="Cambria Math" w:eastAsia="仿宋" w:cs="Cambria Math"/>
                    <w:spacing w:val="-12"/>
                    <w:sz w:val="32"/>
                    <w:szCs w:val="32"/>
                  </w:rPr>
                  <m:t>n</m:t>
                </m:r>
                <m:ctrlPr>
                  <w:rPr>
                    <w:rFonts w:ascii="Cambria Math" w:hAnsi="Cambria Math" w:eastAsia="仿宋" w:cs="Cambria Math"/>
                    <w:spacing w:val="-12"/>
                    <w:sz w:val="32"/>
                    <w:szCs w:val="32"/>
                  </w:rPr>
                </m:ctrlPr>
              </m:sup>
            </m:sSup>
            <m:ctrlPr>
              <w:rPr>
                <w:rFonts w:ascii="Cambria Math" w:hAnsi="Cambria Math" w:eastAsia="仿宋"/>
                <w:spacing w:val="-12"/>
                <w:sz w:val="32"/>
                <w:szCs w:val="32"/>
              </w:rPr>
            </m:ctrlPr>
          </m:num>
          <m:den>
            <m:sSup>
              <m:sSupPr>
                <m:ctrlPr>
                  <w:rPr>
                    <w:rFonts w:ascii="Cambria Math" w:hAnsi="Cambria Math" w:eastAsia="仿宋" w:cs="Cambria Math"/>
                    <w:spacing w:val="-12"/>
                    <w:sz w:val="32"/>
                    <w:szCs w:val="32"/>
                  </w:rPr>
                </m:ctrlPr>
              </m:sSupPr>
              <m:e>
                <m:r>
                  <m:rPr>
                    <m:sty m:val="p"/>
                  </m:rPr>
                  <w:rPr>
                    <w:rFonts w:ascii="Cambria Math" w:hAnsi="Cambria Math" w:eastAsia="仿宋" w:cs="Cambria Math"/>
                    <w:spacing w:val="-12"/>
                    <w:sz w:val="32"/>
                    <w:szCs w:val="32"/>
                  </w:rPr>
                  <m:t>(1+i)</m:t>
                </m:r>
                <m:ctrlPr>
                  <w:rPr>
                    <w:rFonts w:ascii="Cambria Math" w:hAnsi="Cambria Math" w:eastAsia="仿宋" w:cs="Cambria Math"/>
                    <w:spacing w:val="-12"/>
                    <w:sz w:val="32"/>
                    <w:szCs w:val="32"/>
                  </w:rPr>
                </m:ctrlPr>
              </m:e>
              <m:sup>
                <m:r>
                  <m:rPr>
                    <m:sty m:val="p"/>
                  </m:rPr>
                  <w:rPr>
                    <w:rFonts w:ascii="Cambria Math" w:hAnsi="Cambria Math" w:eastAsia="仿宋" w:cs="Cambria Math"/>
                    <w:spacing w:val="-12"/>
                    <w:sz w:val="32"/>
                    <w:szCs w:val="32"/>
                  </w:rPr>
                  <m:t>n</m:t>
                </m:r>
                <m:ctrlPr>
                  <w:rPr>
                    <w:rFonts w:ascii="Cambria Math" w:hAnsi="Cambria Math" w:eastAsia="仿宋" w:cs="Cambria Math"/>
                    <w:spacing w:val="-12"/>
                    <w:sz w:val="32"/>
                    <w:szCs w:val="32"/>
                  </w:rPr>
                </m:ctrlPr>
              </m:sup>
            </m:sSup>
            <m:r>
              <m:rPr>
                <m:sty m:val="p"/>
              </m:rPr>
              <w:rPr>
                <w:rFonts w:ascii="Cambria Math" w:hAnsi="Cambria Math" w:eastAsia="仿宋" w:cs="Cambria Math"/>
                <w:spacing w:val="-12"/>
                <w:sz w:val="32"/>
                <w:szCs w:val="32"/>
              </w:rPr>
              <m:t>−1</m:t>
            </m:r>
            <m:ctrlPr>
              <w:rPr>
                <w:rFonts w:ascii="Cambria Math" w:hAnsi="Cambria Math" w:eastAsia="仿宋"/>
                <w:spacing w:val="-12"/>
                <w:sz w:val="32"/>
                <w:szCs w:val="32"/>
              </w:rPr>
            </m:ctrlPr>
          </m:den>
        </m:f>
      </m:oMath>
      <w:r>
        <w:rPr>
          <w:rFonts w:hint="eastAsia" w:ascii="仿宋" w:hAnsi="仿宋" w:eastAsia="仿宋"/>
          <w:spacing w:val="-12"/>
          <w:sz w:val="32"/>
          <w:szCs w:val="32"/>
        </w:rPr>
        <w:t>,设计投资额P=22.2498亿元,i=9.41%,n为养护期限10年，经计算，10年共需返还</w:t>
      </w:r>
      <w:r>
        <w:rPr>
          <w:rFonts w:hint="eastAsia" w:ascii="仿宋" w:hAnsi="仿宋" w:eastAsia="仿宋"/>
          <w:spacing w:val="-12"/>
          <w:sz w:val="32"/>
          <w:szCs w:val="32"/>
          <w:lang w:val="en-US" w:eastAsia="zh-CN"/>
        </w:rPr>
        <w:t>34.65</w:t>
      </w:r>
      <w:r>
        <w:rPr>
          <w:rFonts w:hint="eastAsia" w:ascii="仿宋" w:hAnsi="仿宋" w:eastAsia="仿宋"/>
          <w:spacing w:val="-12"/>
          <w:sz w:val="32"/>
          <w:szCs w:val="32"/>
        </w:rPr>
        <w:t>亿元（含每年190万元养护服务费）。</w:t>
      </w:r>
      <w:r>
        <w:rPr>
          <w:rFonts w:hint="eastAsia" w:ascii="仿宋" w:hAnsi="仿宋" w:eastAsia="仿宋"/>
          <w:spacing w:val="-12"/>
          <w:sz w:val="32"/>
          <w:szCs w:val="32"/>
          <w:lang w:eastAsia="zh-CN"/>
        </w:rPr>
        <w:t>截止</w:t>
      </w:r>
      <w:r>
        <w:rPr>
          <w:rFonts w:hint="eastAsia" w:ascii="仿宋" w:hAnsi="仿宋" w:eastAsia="仿宋"/>
          <w:spacing w:val="-12"/>
          <w:sz w:val="32"/>
          <w:szCs w:val="32"/>
          <w:lang w:val="en-US" w:eastAsia="zh-CN"/>
        </w:rPr>
        <w:t>202</w:t>
      </w:r>
      <w:r>
        <w:rPr>
          <w:rFonts w:hint="default" w:ascii="仿宋" w:hAnsi="仿宋" w:eastAsia="仿宋"/>
          <w:spacing w:val="-12"/>
          <w:sz w:val="32"/>
          <w:szCs w:val="32"/>
          <w:lang w:val="en" w:eastAsia="zh-CN"/>
        </w:rPr>
        <w:t>3</w:t>
      </w:r>
      <w:r>
        <w:rPr>
          <w:rFonts w:hint="eastAsia" w:ascii="仿宋" w:hAnsi="仿宋" w:eastAsia="仿宋"/>
          <w:spacing w:val="-12"/>
          <w:sz w:val="32"/>
          <w:szCs w:val="32"/>
          <w:lang w:val="en-US" w:eastAsia="zh-CN"/>
        </w:rPr>
        <w:t>年底，已支付政府购买服务费共计</w:t>
      </w:r>
      <w:r>
        <w:rPr>
          <w:rFonts w:hint="default" w:ascii="仿宋" w:hAnsi="仿宋" w:eastAsia="仿宋"/>
          <w:spacing w:val="-12"/>
          <w:sz w:val="32"/>
          <w:szCs w:val="32"/>
          <w:lang w:val="en" w:eastAsia="zh-CN"/>
        </w:rPr>
        <w:t>23.70</w:t>
      </w:r>
      <w:r>
        <w:rPr>
          <w:rFonts w:hint="eastAsia" w:ascii="仿宋" w:hAnsi="仿宋" w:eastAsia="仿宋"/>
          <w:spacing w:val="-12"/>
          <w:sz w:val="32"/>
          <w:szCs w:val="32"/>
          <w:lang w:val="en-US" w:eastAsia="zh-CN"/>
        </w:rPr>
        <w:t>亿元。</w:t>
      </w:r>
    </w:p>
    <w:p>
      <w:pPr>
        <w:spacing w:line="600" w:lineRule="exact"/>
        <w:ind w:firstLine="600" w:firstLineChars="200"/>
        <w:rPr>
          <w:rFonts w:hint="eastAsia" w:ascii="仿宋_GB2312" w:hAnsi="Times New Roman" w:eastAsia="仿宋_GB2312" w:cs="Times New Roman"/>
          <w:sz w:val="30"/>
          <w:szCs w:val="24"/>
        </w:rPr>
      </w:pPr>
      <w:r>
        <w:rPr>
          <w:rFonts w:hint="eastAsia" w:ascii="仿宋_GB2312" w:hAnsi="Times New Roman" w:eastAsia="仿宋_GB2312" w:cs="Times New Roman"/>
          <w:sz w:val="30"/>
          <w:szCs w:val="24"/>
        </w:rPr>
        <w:t>（二）项目绩效目标。</w:t>
      </w:r>
    </w:p>
    <w:p>
      <w:pPr>
        <w:spacing w:line="600" w:lineRule="exact"/>
        <w:ind w:firstLine="600" w:firstLineChars="200"/>
        <w:rPr>
          <w:rFonts w:hint="default" w:ascii="仿宋_GB2312" w:hAnsi="Times New Roman" w:eastAsia="仿宋_GB2312" w:cs="Times New Roman"/>
          <w:sz w:val="30"/>
          <w:szCs w:val="24"/>
          <w:lang w:val="en-US" w:eastAsia="zh-CN"/>
        </w:rPr>
      </w:pPr>
      <w:r>
        <w:rPr>
          <w:rFonts w:hint="eastAsia" w:ascii="仿宋_GB2312" w:hAnsi="Times New Roman" w:eastAsia="仿宋_GB2312" w:cs="Times New Roman"/>
          <w:sz w:val="30"/>
          <w:szCs w:val="24"/>
          <w:lang w:val="en-US" w:eastAsia="zh-CN"/>
        </w:rPr>
        <w:t>1、</w:t>
      </w:r>
      <w:r>
        <w:rPr>
          <w:rFonts w:hint="eastAsia" w:ascii="仿宋_GB2312" w:hAnsi="Times New Roman" w:eastAsia="仿宋_GB2312" w:cs="Times New Roman"/>
          <w:sz w:val="30"/>
          <w:szCs w:val="24"/>
        </w:rPr>
        <w:t>总体目标</w:t>
      </w:r>
      <w:r>
        <w:rPr>
          <w:rFonts w:hint="eastAsia" w:ascii="仿宋_GB2312" w:hAnsi="Times New Roman" w:eastAsia="仿宋_GB2312" w:cs="Times New Roman"/>
          <w:sz w:val="30"/>
          <w:szCs w:val="24"/>
          <w:lang w:eastAsia="zh-CN"/>
        </w:rPr>
        <w:t>。按照签订的</w:t>
      </w:r>
      <w:r>
        <w:rPr>
          <w:rFonts w:hint="eastAsia" w:ascii="仿宋_GB2312" w:hAnsi="Times New Roman" w:eastAsia="仿宋_GB2312" w:cs="Times New Roman"/>
          <w:sz w:val="30"/>
          <w:szCs w:val="24"/>
          <w:lang w:val="en-US" w:eastAsia="zh-CN"/>
        </w:rPr>
        <w:t>PPP协议，按期支付年度政府购买服务费和养护服务费，保证整个项目顺利完成，体现项目的经济社会生态效益。</w:t>
      </w:r>
    </w:p>
    <w:p>
      <w:pPr>
        <w:spacing w:line="600" w:lineRule="exact"/>
        <w:ind w:firstLine="600" w:firstLineChars="200"/>
        <w:rPr>
          <w:rFonts w:hint="default" w:ascii="仿宋_GB2312" w:hAnsi="Times New Roman" w:eastAsia="仿宋_GB2312" w:cs="Times New Roman"/>
          <w:sz w:val="30"/>
          <w:szCs w:val="24"/>
          <w:lang w:val="en-US" w:eastAsia="zh-CN"/>
        </w:rPr>
      </w:pPr>
      <w:r>
        <w:rPr>
          <w:rFonts w:hint="eastAsia" w:ascii="仿宋_GB2312" w:hAnsi="Times New Roman" w:eastAsia="仿宋_GB2312" w:cs="Times New Roman"/>
          <w:sz w:val="30"/>
          <w:szCs w:val="24"/>
          <w:lang w:val="en-US" w:eastAsia="zh-CN"/>
        </w:rPr>
        <w:t>2、</w:t>
      </w:r>
      <w:r>
        <w:rPr>
          <w:rFonts w:hint="eastAsia" w:ascii="仿宋_GB2312" w:hAnsi="Times New Roman" w:eastAsia="仿宋_GB2312" w:cs="Times New Roman"/>
          <w:sz w:val="30"/>
          <w:szCs w:val="24"/>
        </w:rPr>
        <w:t>阶段性目标。</w:t>
      </w:r>
      <w:r>
        <w:rPr>
          <w:rFonts w:hint="eastAsia" w:ascii="仿宋_GB2312" w:hAnsi="Times New Roman" w:eastAsia="仿宋_GB2312" w:cs="Times New Roman"/>
          <w:sz w:val="30"/>
          <w:szCs w:val="24"/>
          <w:lang w:eastAsia="zh-CN"/>
        </w:rPr>
        <w:t>按时支付</w:t>
      </w:r>
      <w:r>
        <w:rPr>
          <w:rFonts w:hint="eastAsia" w:ascii="仿宋_GB2312" w:hAnsi="Times New Roman" w:eastAsia="仿宋_GB2312" w:cs="Times New Roman"/>
          <w:sz w:val="30"/>
          <w:szCs w:val="24"/>
          <w:lang w:val="en-US" w:eastAsia="zh-CN"/>
        </w:rPr>
        <w:t>2023年度政府购买付费和养护服务费，加强养护管理。</w:t>
      </w:r>
    </w:p>
    <w:p>
      <w:pPr>
        <w:spacing w:line="600" w:lineRule="exact"/>
        <w:ind w:firstLine="600" w:firstLineChars="200"/>
        <w:rPr>
          <w:rFonts w:ascii="黑体" w:hAnsi="黑体" w:eastAsia="黑体" w:cs="Times New Roman"/>
          <w:sz w:val="30"/>
          <w:szCs w:val="24"/>
        </w:rPr>
      </w:pPr>
      <w:r>
        <w:rPr>
          <w:rFonts w:hint="eastAsia" w:ascii="黑体" w:hAnsi="黑体" w:eastAsia="黑体" w:cs="Times New Roman"/>
          <w:sz w:val="30"/>
          <w:szCs w:val="24"/>
        </w:rPr>
        <w:t>二、绩效评价工作开展情况</w:t>
      </w:r>
    </w:p>
    <w:p>
      <w:pPr>
        <w:spacing w:line="600" w:lineRule="exact"/>
        <w:ind w:firstLine="600" w:firstLineChars="200"/>
        <w:rPr>
          <w:rFonts w:hint="default" w:ascii="仿宋_GB2312" w:hAnsi="Times New Roman" w:eastAsia="仿宋_GB2312" w:cs="Times New Roman"/>
          <w:sz w:val="30"/>
          <w:szCs w:val="24"/>
          <w:lang w:val="en-US" w:eastAsia="zh-CN"/>
        </w:rPr>
      </w:pPr>
      <w:r>
        <w:rPr>
          <w:rFonts w:hint="eastAsia" w:ascii="仿宋_GB2312" w:hAnsi="Times New Roman" w:eastAsia="仿宋_GB2312" w:cs="Times New Roman"/>
          <w:sz w:val="30"/>
          <w:szCs w:val="24"/>
        </w:rPr>
        <w:t>（一）绩效评价目的、对象和范围。</w:t>
      </w:r>
      <w:r>
        <w:rPr>
          <w:rFonts w:hint="eastAsia" w:ascii="仿宋_GB2312" w:hAnsi="Times New Roman" w:eastAsia="仿宋_GB2312" w:cs="Times New Roman"/>
          <w:sz w:val="30"/>
          <w:szCs w:val="24"/>
          <w:lang w:eastAsia="zh-CN"/>
        </w:rPr>
        <w:t>通过绩效评价，促使项目承担单位提高财政资金的使用效益；绩效评价对象为中湖矿山地质环境治理</w:t>
      </w:r>
      <w:r>
        <w:rPr>
          <w:rFonts w:hint="eastAsia" w:ascii="仿宋_GB2312" w:hAnsi="Times New Roman" w:eastAsia="仿宋_GB2312" w:cs="Times New Roman"/>
          <w:sz w:val="30"/>
          <w:szCs w:val="24"/>
          <w:lang w:val="en-US" w:eastAsia="zh-CN"/>
        </w:rPr>
        <w:t>PPP项目2023年度政府购买服务费和养护服务费。</w:t>
      </w:r>
    </w:p>
    <w:p>
      <w:pPr>
        <w:spacing w:line="600" w:lineRule="exact"/>
        <w:ind w:firstLine="600" w:firstLineChars="200"/>
        <w:rPr>
          <w:rFonts w:hint="eastAsia" w:ascii="仿宋_GB2312" w:hAnsi="Times New Roman" w:eastAsia="仿宋_GB2312" w:cs="Times New Roman"/>
          <w:sz w:val="30"/>
          <w:szCs w:val="24"/>
          <w:lang w:eastAsia="zh-CN"/>
        </w:rPr>
      </w:pPr>
      <w:r>
        <w:rPr>
          <w:rFonts w:hint="eastAsia" w:ascii="仿宋_GB2312" w:hAnsi="Times New Roman" w:eastAsia="仿宋_GB2312" w:cs="Times New Roman"/>
          <w:sz w:val="30"/>
          <w:szCs w:val="24"/>
        </w:rPr>
        <w:t>（二）绩效评价原则、评价指标体系（附表说明）、评价方法、评价标准等。</w:t>
      </w:r>
      <w:r>
        <w:rPr>
          <w:rFonts w:hint="eastAsia" w:ascii="仿宋_GB2312" w:hAnsi="Times New Roman" w:eastAsia="仿宋_GB2312" w:cs="Times New Roman"/>
          <w:sz w:val="30"/>
          <w:szCs w:val="24"/>
          <w:lang w:eastAsia="zh-CN"/>
        </w:rPr>
        <w:t>绩效评价原则为客观性原则和易于操作原则；评价指标体系、评价方法、评价标准见附表。</w:t>
      </w:r>
    </w:p>
    <w:p>
      <w:pPr>
        <w:spacing w:line="600" w:lineRule="exact"/>
        <w:ind w:firstLine="600" w:firstLineChars="200"/>
        <w:rPr>
          <w:rFonts w:hint="eastAsia" w:ascii="仿宋_GB2312" w:hAnsi="Times New Roman" w:eastAsia="仿宋_GB2312" w:cs="Times New Roman"/>
          <w:sz w:val="30"/>
          <w:szCs w:val="24"/>
        </w:rPr>
      </w:pPr>
      <w:r>
        <w:rPr>
          <w:rFonts w:hint="eastAsia" w:ascii="仿宋_GB2312" w:hAnsi="Times New Roman" w:eastAsia="仿宋_GB2312" w:cs="Times New Roman"/>
          <w:sz w:val="30"/>
          <w:szCs w:val="24"/>
        </w:rPr>
        <w:t>（三）绩效评价工作过程。</w:t>
      </w:r>
    </w:p>
    <w:p>
      <w:pPr>
        <w:spacing w:line="600" w:lineRule="exact"/>
        <w:ind w:firstLine="600" w:firstLineChars="200"/>
        <w:rPr>
          <w:rFonts w:hint="eastAsia" w:ascii="仿宋_GB2312" w:hAnsi="Times New Roman" w:eastAsia="仿宋_GB2312" w:cs="Times New Roman"/>
          <w:sz w:val="30"/>
          <w:szCs w:val="24"/>
          <w:lang w:val="en-US" w:eastAsia="zh-CN"/>
        </w:rPr>
      </w:pPr>
      <w:r>
        <w:rPr>
          <w:rFonts w:hint="default" w:ascii="仿宋_GB2312" w:hAnsi="Times New Roman" w:eastAsia="仿宋_GB2312" w:cs="Times New Roman"/>
          <w:sz w:val="30"/>
          <w:szCs w:val="24"/>
          <w:lang w:val="en-US" w:eastAsia="zh-CN"/>
        </w:rPr>
        <w:t>1.前期准备。成立部门绩效评价小组，学习评价指标体系和绩效相关文件通知。</w:t>
      </w:r>
    </w:p>
    <w:p>
      <w:pPr>
        <w:spacing w:line="600" w:lineRule="exact"/>
        <w:ind w:firstLine="600" w:firstLineChars="200"/>
        <w:rPr>
          <w:rFonts w:hint="default" w:ascii="仿宋_GB2312" w:hAnsi="Times New Roman" w:eastAsia="仿宋_GB2312" w:cs="Times New Roman"/>
          <w:sz w:val="30"/>
          <w:szCs w:val="24"/>
          <w:lang w:val="en-US" w:eastAsia="zh-CN"/>
        </w:rPr>
      </w:pPr>
      <w:r>
        <w:rPr>
          <w:rFonts w:hint="default" w:ascii="仿宋_GB2312" w:hAnsi="Times New Roman" w:eastAsia="仿宋_GB2312" w:cs="Times New Roman"/>
          <w:sz w:val="30"/>
          <w:szCs w:val="24"/>
          <w:lang w:val="en-US" w:eastAsia="zh-CN"/>
        </w:rPr>
        <w:t>2.组织实施。按照规定的工作程序组织绩效评价自评，注重评价质量，撰写绩效评价报告。</w:t>
      </w:r>
    </w:p>
    <w:p>
      <w:pPr>
        <w:spacing w:line="600" w:lineRule="exact"/>
        <w:ind w:firstLine="600" w:firstLineChars="200"/>
        <w:rPr>
          <w:rFonts w:hint="eastAsia" w:ascii="仿宋_GB2312" w:hAnsi="Times New Roman" w:eastAsia="仿宋_GB2312" w:cs="Times New Roman"/>
          <w:sz w:val="30"/>
          <w:szCs w:val="24"/>
        </w:rPr>
      </w:pPr>
      <w:r>
        <w:rPr>
          <w:rFonts w:hint="default" w:ascii="仿宋_GB2312" w:hAnsi="Times New Roman" w:eastAsia="仿宋_GB2312" w:cs="Times New Roman"/>
          <w:sz w:val="30"/>
          <w:szCs w:val="24"/>
          <w:lang w:val="en-US" w:eastAsia="zh-CN"/>
        </w:rPr>
        <w:t>3.分析评价。对评价结果进行整改，充分运用分析评价引领。</w:t>
      </w:r>
    </w:p>
    <w:p>
      <w:pPr>
        <w:spacing w:line="600" w:lineRule="exact"/>
        <w:ind w:firstLine="600" w:firstLineChars="200"/>
        <w:rPr>
          <w:rFonts w:hint="eastAsia" w:ascii="黑体" w:hAnsi="黑体" w:eastAsia="黑体" w:cs="Times New Roman"/>
          <w:sz w:val="30"/>
          <w:szCs w:val="24"/>
        </w:rPr>
      </w:pPr>
      <w:r>
        <w:rPr>
          <w:rFonts w:hint="eastAsia" w:ascii="黑体" w:hAnsi="黑体" w:eastAsia="黑体" w:cs="Times New Roman"/>
          <w:sz w:val="30"/>
          <w:szCs w:val="24"/>
        </w:rPr>
        <w:t>三、综合评价情况及评价结论（附相关评分表）</w:t>
      </w:r>
    </w:p>
    <w:p>
      <w:pPr>
        <w:spacing w:line="600" w:lineRule="exact"/>
        <w:ind w:firstLine="600" w:firstLineChars="200"/>
        <w:rPr>
          <w:rFonts w:hint="default" w:ascii="仿宋_GB2312" w:hAnsi="Times New Roman" w:eastAsia="仿宋_GB2312" w:cs="Times New Roman"/>
          <w:sz w:val="30"/>
          <w:szCs w:val="24"/>
          <w:lang w:val="en-US" w:eastAsia="zh-CN"/>
        </w:rPr>
      </w:pPr>
      <w:r>
        <w:rPr>
          <w:rFonts w:hint="eastAsia" w:ascii="仿宋_GB2312" w:hAnsi="Times New Roman" w:eastAsia="仿宋_GB2312" w:cs="Times New Roman"/>
          <w:sz w:val="30"/>
          <w:szCs w:val="24"/>
          <w:lang w:val="en-US" w:eastAsia="zh-CN"/>
        </w:rPr>
        <w:t>经认真开展综合评价，对淮北市</w:t>
      </w:r>
      <w:r>
        <w:rPr>
          <w:rFonts w:hint="eastAsia" w:ascii="仿宋_GB2312" w:hAnsi="Times New Roman" w:eastAsia="仿宋_GB2312" w:cs="Times New Roman"/>
          <w:sz w:val="30"/>
          <w:szCs w:val="24"/>
          <w:lang w:eastAsia="zh-CN"/>
        </w:rPr>
        <w:t>中湖矿山地质环境治理</w:t>
      </w:r>
      <w:r>
        <w:rPr>
          <w:rFonts w:hint="eastAsia" w:ascii="仿宋_GB2312" w:hAnsi="Times New Roman" w:eastAsia="仿宋_GB2312" w:cs="Times New Roman"/>
          <w:sz w:val="30"/>
          <w:szCs w:val="24"/>
          <w:lang w:val="en-US" w:eastAsia="zh-CN"/>
        </w:rPr>
        <w:t>PPP项目支出绩效评价结论为优。</w:t>
      </w:r>
    </w:p>
    <w:p>
      <w:pPr>
        <w:spacing w:line="600" w:lineRule="exact"/>
        <w:ind w:firstLine="600" w:firstLineChars="200"/>
        <w:rPr>
          <w:rFonts w:ascii="黑体" w:hAnsi="黑体" w:eastAsia="黑体" w:cs="Times New Roman"/>
          <w:sz w:val="30"/>
          <w:szCs w:val="24"/>
        </w:rPr>
      </w:pPr>
      <w:r>
        <w:rPr>
          <w:rFonts w:hint="eastAsia" w:ascii="黑体" w:hAnsi="黑体" w:eastAsia="黑体" w:cs="Times New Roman"/>
          <w:sz w:val="30"/>
          <w:szCs w:val="24"/>
        </w:rPr>
        <w:t>四、绩效评价指标分析</w:t>
      </w:r>
    </w:p>
    <w:p>
      <w:pPr>
        <w:spacing w:line="600" w:lineRule="exact"/>
        <w:ind w:firstLine="600" w:firstLineChars="200"/>
        <w:rPr>
          <w:rFonts w:hint="eastAsia" w:ascii="仿宋_GB2312" w:hAnsi="Times New Roman" w:eastAsia="仿宋_GB2312" w:cs="Times New Roman"/>
          <w:sz w:val="30"/>
          <w:szCs w:val="24"/>
          <w:lang w:val="en-US" w:eastAsia="zh-CN"/>
        </w:rPr>
      </w:pPr>
      <w:r>
        <w:rPr>
          <w:rFonts w:hint="eastAsia" w:ascii="仿宋_GB2312" w:hAnsi="Times New Roman" w:eastAsia="仿宋_GB2312" w:cs="Times New Roman"/>
          <w:sz w:val="30"/>
          <w:szCs w:val="24"/>
        </w:rPr>
        <w:t>（一）项目决策</w:t>
      </w:r>
      <w:r>
        <w:rPr>
          <w:rFonts w:hint="eastAsia" w:ascii="仿宋_GB2312" w:hAnsi="Times New Roman" w:eastAsia="仿宋_GB2312" w:cs="Times New Roman"/>
          <w:sz w:val="30"/>
          <w:szCs w:val="24"/>
          <w:lang w:val="en-US" w:eastAsia="zh-CN"/>
        </w:rPr>
        <w:t>情况。立项依据充分，立项程序规范，绩效目标合理，绩效指标明确，预算编制科学，资金分配合理。</w:t>
      </w:r>
    </w:p>
    <w:p>
      <w:pPr>
        <w:spacing w:line="600" w:lineRule="exact"/>
        <w:ind w:firstLine="600" w:firstLineChars="200"/>
        <w:rPr>
          <w:rFonts w:hint="eastAsia" w:ascii="仿宋_GB2312" w:hAnsi="Times New Roman" w:eastAsia="仿宋_GB2312" w:cs="Times New Roman"/>
          <w:sz w:val="30"/>
          <w:szCs w:val="24"/>
          <w:lang w:val="en-US" w:eastAsia="zh-CN"/>
        </w:rPr>
      </w:pPr>
      <w:r>
        <w:rPr>
          <w:rFonts w:hint="eastAsia" w:ascii="仿宋_GB2312" w:hAnsi="Times New Roman" w:eastAsia="仿宋_GB2312" w:cs="Times New Roman"/>
          <w:sz w:val="30"/>
          <w:szCs w:val="24"/>
        </w:rPr>
        <w:t>（二）项目过程情况。</w:t>
      </w:r>
      <w:r>
        <w:rPr>
          <w:rFonts w:hint="eastAsia" w:ascii="仿宋_GB2312" w:hAnsi="Times New Roman" w:eastAsia="仿宋_GB2312" w:cs="Times New Roman"/>
          <w:sz w:val="30"/>
          <w:szCs w:val="24"/>
          <w:lang w:val="en-US" w:eastAsia="zh-CN"/>
        </w:rPr>
        <w:t>资金到位率为100%，预算执行率为100%，资金使用合规，管理制度健全，制度执行有效。</w:t>
      </w:r>
    </w:p>
    <w:p>
      <w:pPr>
        <w:spacing w:line="600" w:lineRule="exact"/>
        <w:ind w:firstLine="600" w:firstLineChars="200"/>
        <w:outlineLvl w:val="0"/>
        <w:rPr>
          <w:rFonts w:hint="default" w:ascii="仿宋_GB2312" w:hAnsi="Times New Roman" w:eastAsia="仿宋_GB2312" w:cs="Times New Roman"/>
          <w:sz w:val="30"/>
          <w:szCs w:val="24"/>
          <w:lang w:val="en-US" w:eastAsia="zh-CN"/>
        </w:rPr>
      </w:pPr>
      <w:r>
        <w:rPr>
          <w:rFonts w:hint="eastAsia" w:ascii="仿宋_GB2312" w:hAnsi="Times New Roman" w:eastAsia="仿宋_GB2312" w:cs="Times New Roman"/>
          <w:sz w:val="30"/>
          <w:szCs w:val="24"/>
        </w:rPr>
        <w:t>（三）项目产出情况。</w:t>
      </w:r>
      <w:r>
        <w:rPr>
          <w:rFonts w:hint="eastAsia" w:ascii="仿宋_GB2312" w:hAnsi="Times New Roman" w:eastAsia="仿宋_GB2312" w:cs="Times New Roman"/>
          <w:sz w:val="30"/>
          <w:szCs w:val="24"/>
          <w:lang w:eastAsia="zh-CN"/>
        </w:rPr>
        <w:t>项目实施完成后，治理区成为城市中央公园，生态、社会效益显著，其中的</w:t>
      </w:r>
      <w:r>
        <w:rPr>
          <w:rFonts w:hint="eastAsia" w:ascii="仿宋_GB2312" w:hAnsi="Times New Roman" w:eastAsia="仿宋_GB2312" w:cs="Times New Roman"/>
          <w:sz w:val="30"/>
          <w:szCs w:val="24"/>
          <w:lang w:val="en-US" w:eastAsia="zh-CN"/>
        </w:rPr>
        <w:t>1.16万亩水面极大地改善了项目区的小气候，同时能够提供约8000亩城市建设用地，经济效益明显。</w:t>
      </w:r>
    </w:p>
    <w:p>
      <w:pPr>
        <w:spacing w:line="600" w:lineRule="exact"/>
        <w:ind w:firstLine="600" w:firstLineChars="200"/>
        <w:outlineLvl w:val="0"/>
        <w:rPr>
          <w:rFonts w:hint="eastAsia" w:ascii="仿宋_GB2312" w:hAnsi="Times New Roman" w:eastAsia="仿宋_GB2312" w:cs="Times New Roman"/>
          <w:sz w:val="30"/>
          <w:szCs w:val="24"/>
          <w:lang w:val="en-US" w:eastAsia="zh-CN"/>
        </w:rPr>
      </w:pPr>
      <w:r>
        <w:rPr>
          <w:rFonts w:hint="eastAsia" w:ascii="仿宋_GB2312" w:hAnsi="Times New Roman" w:eastAsia="仿宋_GB2312" w:cs="Times New Roman"/>
          <w:sz w:val="30"/>
          <w:szCs w:val="24"/>
        </w:rPr>
        <w:t>（四）项目效益情况。</w:t>
      </w:r>
      <w:r>
        <w:rPr>
          <w:rFonts w:hint="eastAsia" w:ascii="仿宋_GB2312" w:hAnsi="Times New Roman" w:eastAsia="仿宋_GB2312" w:cs="Times New Roman"/>
          <w:sz w:val="30"/>
          <w:szCs w:val="24"/>
          <w:lang w:eastAsia="zh-CN"/>
        </w:rPr>
        <w:t>生态效益，项目竣工后，昔日脏乱差的采煤塌陷地成为水清岸绿景美的城市中央公园；社会效益，通过治理，项目区周边的群众生产生活环境得到极大改善，群众满意度高；经济效益，治理后形成约</w:t>
      </w:r>
      <w:r>
        <w:rPr>
          <w:rFonts w:hint="eastAsia" w:ascii="仿宋_GB2312" w:hAnsi="Times New Roman" w:eastAsia="仿宋_GB2312" w:cs="Times New Roman"/>
          <w:sz w:val="30"/>
          <w:szCs w:val="24"/>
          <w:lang w:val="en-US" w:eastAsia="zh-CN"/>
        </w:rPr>
        <w:t>8000亩城市建设用地，绿金湖成为城市重要的调蓄水库，满足城市建设的用水需求。</w:t>
      </w:r>
    </w:p>
    <w:p>
      <w:pPr>
        <w:spacing w:line="600" w:lineRule="exact"/>
        <w:ind w:firstLine="600" w:firstLineChars="200"/>
        <w:rPr>
          <w:rFonts w:hint="eastAsia" w:ascii="黑体" w:hAnsi="黑体" w:eastAsia="黑体" w:cs="Times New Roman"/>
          <w:sz w:val="30"/>
          <w:szCs w:val="24"/>
        </w:rPr>
      </w:pPr>
      <w:r>
        <w:rPr>
          <w:rFonts w:hint="eastAsia" w:ascii="黑体" w:hAnsi="黑体" w:eastAsia="黑体" w:cs="Times New Roman"/>
          <w:sz w:val="30"/>
          <w:szCs w:val="24"/>
        </w:rPr>
        <w:t>五、主要经验及做法</w:t>
      </w:r>
    </w:p>
    <w:p>
      <w:pPr>
        <w:spacing w:line="360" w:lineRule="auto"/>
        <w:ind w:firstLine="600"/>
        <w:rPr>
          <w:rFonts w:hint="eastAsia" w:ascii="仿宋" w:hAnsi="仿宋" w:eastAsia="仿宋"/>
          <w:sz w:val="32"/>
          <w:szCs w:val="32"/>
          <w:lang w:val="en-US" w:eastAsia="zh-CN"/>
        </w:rPr>
      </w:pPr>
      <w:r>
        <w:rPr>
          <w:rFonts w:hint="eastAsia" w:ascii="仿宋" w:hAnsi="仿宋" w:eastAsia="仿宋"/>
          <w:sz w:val="32"/>
          <w:szCs w:val="32"/>
        </w:rPr>
        <w:t>1.市委市政府高度重视项目实施工作。分别成立了东湖、中湖矿山地质环境治理工程建设指挥部，分管副市长任指挥长。党政主要领导多次开会议研究部署中湖治理工作。在项目实施过程中，</w:t>
      </w:r>
      <w:r>
        <w:rPr>
          <w:rFonts w:hint="eastAsia" w:ascii="仿宋" w:hAnsi="仿宋" w:eastAsia="仿宋"/>
          <w:sz w:val="32"/>
          <w:szCs w:val="32"/>
          <w:lang w:eastAsia="zh-CN"/>
        </w:rPr>
        <w:t>时任</w:t>
      </w:r>
      <w:r>
        <w:rPr>
          <w:rFonts w:hint="eastAsia" w:ascii="仿宋" w:hAnsi="仿宋" w:eastAsia="仿宋"/>
          <w:sz w:val="32"/>
          <w:szCs w:val="32"/>
        </w:rPr>
        <w:t>市委书记、市长及市党</w:t>
      </w:r>
      <w:r>
        <w:rPr>
          <w:rFonts w:hint="eastAsia" w:ascii="仿宋" w:hAnsi="仿宋" w:eastAsia="仿宋"/>
          <w:sz w:val="32"/>
          <w:szCs w:val="32"/>
          <w:lang w:eastAsia="zh-CN"/>
        </w:rPr>
        <w:t>、</w:t>
      </w:r>
      <w:r>
        <w:rPr>
          <w:rFonts w:hint="eastAsia" w:ascii="仿宋" w:hAnsi="仿宋" w:eastAsia="仿宋"/>
          <w:sz w:val="32"/>
          <w:szCs w:val="32"/>
        </w:rPr>
        <w:t>政领导多次亲临现场，国家部委和省领导也多次莅临中湖检查指导工作。尤其让淮北人民倍受鼓舞的是，2017年8月18日，</w:t>
      </w:r>
      <w:r>
        <w:rPr>
          <w:rFonts w:hint="eastAsia" w:ascii="仿宋" w:hAnsi="仿宋" w:eastAsia="仿宋"/>
          <w:sz w:val="32"/>
          <w:szCs w:val="32"/>
          <w:lang w:eastAsia="zh-CN"/>
        </w:rPr>
        <w:t>时任</w:t>
      </w:r>
      <w:r>
        <w:rPr>
          <w:rFonts w:hint="eastAsia" w:ascii="仿宋" w:hAnsi="仿宋" w:eastAsia="仿宋"/>
          <w:sz w:val="32"/>
          <w:szCs w:val="32"/>
        </w:rPr>
        <w:t>省委书记</w:t>
      </w:r>
      <w:r>
        <w:rPr>
          <w:rFonts w:hint="eastAsia" w:ascii="仿宋" w:hAnsi="仿宋" w:eastAsia="仿宋"/>
          <w:sz w:val="32"/>
          <w:szCs w:val="32"/>
          <w:lang w:eastAsia="zh-CN"/>
        </w:rPr>
        <w:t>李锦斌</w:t>
      </w:r>
      <w:r>
        <w:rPr>
          <w:rFonts w:hint="eastAsia" w:ascii="仿宋" w:hAnsi="仿宋" w:eastAsia="仿宋"/>
          <w:sz w:val="32"/>
          <w:szCs w:val="32"/>
        </w:rPr>
        <w:t>一行来到中湖治理施工现场后，用“震惊、震撼、振奋”来形容中湖治理工程，给予中湖治理工作高度评价</w:t>
      </w:r>
      <w:r>
        <w:rPr>
          <w:rFonts w:hint="eastAsia" w:ascii="仿宋" w:hAnsi="仿宋" w:eastAsia="仿宋"/>
          <w:sz w:val="32"/>
          <w:szCs w:val="32"/>
          <w:lang w:eastAsia="zh-CN"/>
        </w:rPr>
        <w:t>。</w:t>
      </w:r>
    </w:p>
    <w:p>
      <w:pPr>
        <w:spacing w:line="360" w:lineRule="auto"/>
        <w:ind w:firstLine="600"/>
        <w:rPr>
          <w:rFonts w:hint="eastAsia" w:ascii="仿宋" w:hAnsi="仿宋" w:eastAsia="仿宋"/>
          <w:sz w:val="32"/>
          <w:szCs w:val="32"/>
          <w:lang w:eastAsia="zh-CN"/>
        </w:rPr>
      </w:pPr>
      <w:r>
        <w:rPr>
          <w:rFonts w:hint="eastAsia" w:ascii="仿宋" w:hAnsi="仿宋" w:eastAsia="仿宋"/>
          <w:sz w:val="32"/>
          <w:szCs w:val="32"/>
        </w:rPr>
        <w:t>2.突出多规合一。即将土地利用总体规划、城市规划、生态环境保护规划、湿地保护规划、林业规划有机结合，保障治理后的土地能按照规划用途有效利用</w:t>
      </w:r>
      <w:r>
        <w:rPr>
          <w:rFonts w:hint="eastAsia" w:ascii="仿宋" w:hAnsi="仿宋" w:eastAsia="仿宋"/>
          <w:sz w:val="32"/>
          <w:szCs w:val="32"/>
          <w:lang w:eastAsia="zh-CN"/>
        </w:rPr>
        <w:t>。</w:t>
      </w:r>
    </w:p>
    <w:p>
      <w:pPr>
        <w:spacing w:line="360" w:lineRule="auto"/>
        <w:ind w:firstLine="600"/>
        <w:rPr>
          <w:rFonts w:hint="eastAsia" w:ascii="仿宋" w:hAnsi="仿宋" w:eastAsia="仿宋"/>
          <w:sz w:val="32"/>
          <w:szCs w:val="32"/>
        </w:rPr>
      </w:pPr>
      <w:r>
        <w:rPr>
          <w:rFonts w:hint="eastAsia" w:ascii="仿宋" w:hAnsi="仿宋" w:eastAsia="仿宋"/>
          <w:sz w:val="32"/>
          <w:szCs w:val="32"/>
        </w:rPr>
        <w:t>3.突出统筹推进。即规划、国土、城建、交通、水务等多部门分工协作，密切配合，做到不重复投资，一体化施工;</w:t>
      </w:r>
    </w:p>
    <w:p>
      <w:pPr>
        <w:spacing w:line="360" w:lineRule="auto"/>
        <w:ind w:firstLine="600"/>
        <w:rPr>
          <w:rFonts w:hint="eastAsia" w:ascii="仿宋" w:hAnsi="仿宋" w:eastAsia="仿宋"/>
          <w:sz w:val="32"/>
          <w:szCs w:val="32"/>
        </w:rPr>
      </w:pPr>
      <w:r>
        <w:rPr>
          <w:rFonts w:hint="eastAsia" w:ascii="仿宋" w:hAnsi="仿宋" w:eastAsia="仿宋"/>
          <w:sz w:val="32"/>
          <w:szCs w:val="32"/>
        </w:rPr>
        <w:t>4.实施超前式治理。即在科学预测未稳沉区域未来塌陷尺度的基础上，通过提前挖出表土、预留塌陷标高等方式进行超前治理，使治理后的土地即使在地下继续塌陷直至稳沉后，依然能达到治理设计要求，而不必等到稳沉后再治理。</w:t>
      </w:r>
    </w:p>
    <w:p>
      <w:pPr>
        <w:spacing w:line="360" w:lineRule="auto"/>
        <w:ind w:firstLine="600"/>
        <w:rPr>
          <w:rFonts w:hint="eastAsia" w:ascii="仿宋" w:hAnsi="仿宋" w:eastAsia="仿宋"/>
          <w:sz w:val="32"/>
          <w:szCs w:val="32"/>
        </w:rPr>
      </w:pPr>
      <w:r>
        <w:rPr>
          <w:rFonts w:hint="eastAsia" w:ascii="仿宋" w:hAnsi="仿宋" w:eastAsia="仿宋"/>
          <w:sz w:val="32"/>
          <w:szCs w:val="32"/>
        </w:rPr>
        <w:t>5.实施以PPP项目融资为主体的社会资金运作模式。为解决资金短缺问题，根据国家相关政策，淮北市积极探索实践PPP融资模式。2015年11月13日，淮北市人大常务委员会批准了淮北市资源枯竭城市矿山地质环境治理重点项目二、三期工程即中湖治理项目实施PPP融资模式，开启了矿山地质环境治理的新时代。</w:t>
      </w:r>
    </w:p>
    <w:p>
      <w:pPr>
        <w:spacing w:line="600" w:lineRule="exact"/>
        <w:ind w:firstLine="600" w:firstLineChars="200"/>
        <w:rPr>
          <w:rFonts w:hint="eastAsia" w:ascii="黑体" w:hAnsi="黑体" w:eastAsia="黑体" w:cs="Times New Roman"/>
          <w:sz w:val="30"/>
          <w:szCs w:val="24"/>
        </w:rPr>
      </w:pPr>
      <w:r>
        <w:rPr>
          <w:rFonts w:hint="eastAsia" w:ascii="黑体" w:hAnsi="黑体" w:eastAsia="黑体" w:cs="Times New Roman"/>
          <w:sz w:val="30"/>
          <w:szCs w:val="24"/>
          <w:lang w:eastAsia="zh-CN"/>
        </w:rPr>
        <w:t>六</w:t>
      </w:r>
      <w:r>
        <w:rPr>
          <w:rFonts w:hint="eastAsia" w:ascii="黑体" w:hAnsi="黑体" w:eastAsia="黑体" w:cs="Times New Roman"/>
          <w:sz w:val="30"/>
          <w:szCs w:val="24"/>
        </w:rPr>
        <w:t>、存在的问题及原因分析</w:t>
      </w:r>
    </w:p>
    <w:p>
      <w:pPr>
        <w:spacing w:line="360" w:lineRule="auto"/>
        <w:ind w:firstLine="600"/>
        <w:rPr>
          <w:rFonts w:hint="default" w:ascii="仿宋" w:hAnsi="仿宋" w:eastAsia="仿宋"/>
          <w:sz w:val="32"/>
          <w:szCs w:val="32"/>
          <w:lang w:val="en-US" w:eastAsia="zh-CN"/>
        </w:rPr>
      </w:pPr>
      <w:r>
        <w:rPr>
          <w:rFonts w:hint="eastAsia" w:ascii="仿宋" w:hAnsi="仿宋" w:eastAsia="仿宋"/>
          <w:sz w:val="32"/>
          <w:szCs w:val="32"/>
          <w:lang w:eastAsia="zh-CN"/>
        </w:rPr>
        <w:t>每年的政府购买服务费支付额不固定，每年要重新计算，主要是因为中湖矿山地质环境治理</w:t>
      </w:r>
      <w:r>
        <w:rPr>
          <w:rFonts w:hint="eastAsia" w:ascii="仿宋" w:hAnsi="仿宋" w:eastAsia="仿宋"/>
          <w:sz w:val="32"/>
          <w:szCs w:val="32"/>
          <w:lang w:val="en-US" w:eastAsia="zh-CN"/>
        </w:rPr>
        <w:t>PPP项目的投资没有一次性完成，导致审计结论迟迟没有给出，根据计算公式，投入资金的计算年限发生改变，每年需重新计算。截止2022年底，中湖治理工程的所有治理资金审计任务已完成，审计结论已给出，今后四年的政府购买服务费数额已计算出数额，每年完成养护考核任务按期支付购买服务费。至2028年支付完最后一笔政府购买服务费，如有必要，可委托第三方核算机构对总支付额进行最终核算，核算完毕，淮北市中湖矿山地质环境治理PPP项目完成。</w:t>
      </w:r>
    </w:p>
    <w:p>
      <w:pPr>
        <w:spacing w:line="360" w:lineRule="auto"/>
        <w:ind w:firstLine="600"/>
        <w:rPr>
          <w:rFonts w:hint="eastAsia" w:ascii="黑体" w:hAnsi="黑体" w:eastAsia="黑体" w:cs="Times New Roman"/>
          <w:sz w:val="30"/>
          <w:szCs w:val="24"/>
          <w:lang w:eastAsia="zh-CN"/>
        </w:rPr>
      </w:pPr>
      <w:r>
        <w:rPr>
          <w:rFonts w:hint="eastAsia" w:ascii="黑体" w:hAnsi="黑体" w:eastAsia="黑体" w:cs="Times New Roman"/>
          <w:sz w:val="30"/>
          <w:szCs w:val="24"/>
          <w:lang w:eastAsia="zh-CN"/>
        </w:rPr>
        <w:t>七、</w:t>
      </w:r>
      <w:r>
        <w:rPr>
          <w:rFonts w:hint="eastAsia" w:ascii="黑体" w:hAnsi="黑体" w:eastAsia="黑体" w:cs="Times New Roman"/>
          <w:sz w:val="30"/>
          <w:szCs w:val="24"/>
        </w:rPr>
        <w:t>有关建议</w:t>
      </w:r>
    </w:p>
    <w:p>
      <w:pPr>
        <w:numPr>
          <w:ilvl w:val="0"/>
          <w:numId w:val="0"/>
        </w:num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本项目为经市人大常委会批准的</w:t>
      </w:r>
      <w:r>
        <w:rPr>
          <w:rFonts w:hint="eastAsia" w:ascii="仿宋" w:hAnsi="仿宋" w:eastAsia="仿宋"/>
          <w:sz w:val="32"/>
          <w:szCs w:val="32"/>
          <w:lang w:val="en-US" w:eastAsia="zh-CN"/>
        </w:rPr>
        <w:t>PPP项目，每年的支付额也基本固定，希望市财政局在剩下的支付年限里能够简化支付程序，按时支付每年的政府购买服务费。</w:t>
      </w:r>
    </w:p>
    <w:p>
      <w:pPr>
        <w:numPr>
          <w:ilvl w:val="0"/>
          <w:numId w:val="1"/>
        </w:numPr>
        <w:spacing w:line="600" w:lineRule="exact"/>
        <w:ind w:firstLine="600" w:firstLineChars="200"/>
        <w:rPr>
          <w:rFonts w:hint="eastAsia" w:ascii="黑体" w:hAnsi="黑体" w:eastAsia="黑体" w:cs="Times New Roman"/>
          <w:sz w:val="30"/>
          <w:szCs w:val="24"/>
        </w:rPr>
      </w:pPr>
      <w:r>
        <w:rPr>
          <w:rFonts w:hint="eastAsia" w:ascii="黑体" w:hAnsi="黑体" w:eastAsia="黑体" w:cs="Times New Roman"/>
          <w:sz w:val="30"/>
          <w:szCs w:val="24"/>
        </w:rPr>
        <w:t>其他需要说明的问题</w:t>
      </w:r>
    </w:p>
    <w:p>
      <w:pPr>
        <w:tabs>
          <w:tab w:val="left" w:pos="610"/>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r>
        <w:rPr>
          <w:rFonts w:hint="eastAsia" w:ascii="仿宋" w:hAnsi="仿宋" w:eastAsia="仿宋"/>
          <w:sz w:val="32"/>
          <w:szCs w:val="32"/>
          <w:lang w:val="en-US" w:eastAsia="zh-CN"/>
        </w:rPr>
        <w:t>无</w:t>
      </w:r>
      <w:bookmarkStart w:id="0" w:name="_GoBack"/>
      <w:bookmarkEnd w:id="0"/>
    </w:p>
    <w:tbl>
      <w:tblPr>
        <w:tblStyle w:val="5"/>
        <w:tblpPr w:leftFromText="180" w:rightFromText="180" w:vertAnchor="text" w:horzAnchor="page" w:tblpX="571" w:tblpY="1024"/>
        <w:tblOverlap w:val="never"/>
        <w:tblW w:w="109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429"/>
        <w:gridCol w:w="1035"/>
        <w:gridCol w:w="2103"/>
        <w:gridCol w:w="916"/>
        <w:gridCol w:w="1416"/>
        <w:gridCol w:w="1416"/>
        <w:gridCol w:w="685"/>
        <w:gridCol w:w="929"/>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949" w:type="dxa"/>
            <w:gridSpan w:val="10"/>
            <w:tcBorders>
              <w:top w:val="nil"/>
              <w:left w:val="nil"/>
              <w:bottom w:val="nil"/>
              <w:right w:val="nil"/>
            </w:tcBorders>
            <w:shd w:val="clear" w:color="auto" w:fill="auto"/>
            <w:vAlign w:val="center"/>
          </w:tcPr>
          <w:p>
            <w:pPr>
              <w:tabs>
                <w:tab w:val="left" w:pos="3681"/>
              </w:tabs>
              <w:bidi w:val="0"/>
              <w:jc w:val="left"/>
              <w:rPr>
                <w:rFonts w:hint="eastAsia" w:ascii="宋体" w:hAnsi="宋体" w:eastAsia="宋体" w:cs="宋体"/>
                <w:i w:val="0"/>
                <w:color w:val="000000"/>
                <w:sz w:val="20"/>
                <w:szCs w:val="20"/>
                <w:u w:val="none"/>
              </w:rPr>
            </w:pPr>
            <w:r>
              <w:rPr>
                <w:rFonts w:hint="eastAsia"/>
                <w:lang w:val="en-US" w:eastAsia="zh-CN"/>
              </w:rPr>
              <w:tab/>
            </w:r>
            <w:r>
              <w:rPr>
                <w:rFonts w:hint="eastAsia"/>
                <w:lang w:val="en-US" w:eastAsia="zh-CN"/>
              </w:rPr>
              <w:t xml:space="preserve">             </w:t>
            </w:r>
            <w:r>
              <w:rPr>
                <w:rFonts w:hint="eastAsia" w:ascii="宋体" w:hAnsi="宋体" w:eastAsia="宋体" w:cs="宋体"/>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9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淮北市中湖矿山地质环境治理PPP项目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4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201-淮北市自然资源和规划局</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201001-淮北市自然资源和规划局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8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                    （万元）</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分值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3178.04</w:t>
            </w:r>
          </w:p>
        </w:tc>
        <w:tc>
          <w:tcPr>
            <w:tcW w:w="14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34203.04</w:t>
            </w:r>
          </w:p>
        </w:tc>
        <w:tc>
          <w:tcPr>
            <w:tcW w:w="14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34203.04</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其中：本年财政拨款</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3178.04</w:t>
            </w:r>
          </w:p>
        </w:tc>
        <w:tc>
          <w:tcPr>
            <w:tcW w:w="14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34203.04</w:t>
            </w:r>
          </w:p>
        </w:tc>
        <w:tc>
          <w:tcPr>
            <w:tcW w:w="14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34203.04</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上年结转资金</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0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58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4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0"/>
                <w:szCs w:val="20"/>
                <w:u w:val="none"/>
              </w:rPr>
            </w:pPr>
          </w:p>
        </w:tc>
        <w:tc>
          <w:tcPr>
            <w:tcW w:w="58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中湖治理任务后，根据淮北市中湖矿山地质环境治理PPP项目PPP协议，支付PPP项目合作单位安建投资有限公司政府购买服务费和后期养护服务费，履行协议约定的承诺，确保中湖治理的经济、社会、生态效益逐步显现。</w:t>
            </w:r>
          </w:p>
        </w:tc>
        <w:tc>
          <w:tcPr>
            <w:tcW w:w="4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中湖治理任务后，根据淮北市中湖矿山地质环境治理PPP项目PPP协议，支付PPP项目合作单位安建投资有限公司政府购买服务费和后期养护服务费，履行协议约定的承诺，确保中湖治理的经济、社会、生态效益逐步显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治理土地数量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＝3.61万亩</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3.61万亩</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治理后土地使用质量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政府购买服务费支付年度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2023年度支付政府购买服务费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＝342030435.73元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342030435.73元</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治理后形成8000亩可出让土地，总蓄水库容3594万立方。亩、万立方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改善了项目区居民的生存条件，提高了土地利用率。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治理了生态环境，改善了项目区小气候。</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治理后的项目区具更强的可持续发展能力。</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周边群众满意度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1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bl>
    <w:p>
      <w:pPr>
        <w:bidi w:val="0"/>
        <w:rPr>
          <w:rFonts w:hint="default"/>
          <w:lang w:val="en-US" w:eastAsia="zh-CN"/>
        </w:rPr>
      </w:pPr>
    </w:p>
    <w:sectPr>
      <w:footerReference r:id="rId3" w:type="default"/>
      <w:pgSz w:w="11906" w:h="16838"/>
      <w:pgMar w:top="1928" w:right="1531" w:bottom="1701" w:left="1531" w:header="737" w:footer="850" w:gutter="0"/>
      <w:pgNumType w:fmt="numberInDash"/>
      <w:cols w:space="0" w:num="1"/>
      <w:rtlGutter w:val="0"/>
      <w:docGrid w:type="lines" w:linePitch="4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2B4D9"/>
    <w:multiLevelType w:val="singleLevel"/>
    <w:tmpl w:val="BBF2B4D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zU5N2U2ZTBkZjY0YmNkMjM2Mjc5MTZjM2NmODUifQ=="/>
  </w:docVars>
  <w:rsids>
    <w:rsidRoot w:val="1F4E4E8F"/>
    <w:rsid w:val="035F5702"/>
    <w:rsid w:val="0F3B5EAF"/>
    <w:rsid w:val="1C436DD4"/>
    <w:rsid w:val="1F4E4E8F"/>
    <w:rsid w:val="2FDFD8BE"/>
    <w:rsid w:val="30BC17F5"/>
    <w:rsid w:val="34F55BAF"/>
    <w:rsid w:val="3DE73D6B"/>
    <w:rsid w:val="40FB60C3"/>
    <w:rsid w:val="490655F3"/>
    <w:rsid w:val="4BC15DB0"/>
    <w:rsid w:val="50594AA9"/>
    <w:rsid w:val="51FD5AFC"/>
    <w:rsid w:val="55017072"/>
    <w:rsid w:val="57FB8078"/>
    <w:rsid w:val="5D752AB5"/>
    <w:rsid w:val="6AFC44F2"/>
    <w:rsid w:val="72B4A17A"/>
    <w:rsid w:val="7A366124"/>
    <w:rsid w:val="7FEDA358"/>
    <w:rsid w:val="7FFF33C3"/>
    <w:rsid w:val="87E637E3"/>
    <w:rsid w:val="AE772DB0"/>
    <w:rsid w:val="B9FF7E6C"/>
    <w:rsid w:val="BDDBD0BC"/>
    <w:rsid w:val="BF789512"/>
    <w:rsid w:val="BFF784B4"/>
    <w:rsid w:val="DADF1D0E"/>
    <w:rsid w:val="E87F396B"/>
    <w:rsid w:val="EAFF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2021-03-13T16:17:00Z</dcterms:created>
  <dc:creator>Lihai</dc:creator>
  <cp:lastModifiedBy>hb</cp:lastModifiedBy>
  <cp:lastPrinted>2024-04-05T08:08:00Z</cp:lastPrinted>
  <dcterms:modified xsi:type="dcterms:W3CDTF">2024-09-25T10:17:24Z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05F598B960D14FAB9EF159320CD1A79C_13</vt:lpwstr>
  </property>
</Properties>
</file>