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淮北市自然资源和规划局烈山分局2023年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
    <w:p/>
    <w:p/>
    <w:p/>
    <w:p/>
    <w:p/>
    <w:p/>
    <w:p/>
    <w:p/>
    <w:p/>
    <w:p/>
    <w:p/>
    <w:p/>
    <w:p/>
    <w:p/>
    <w:p/>
    <w:p/>
    <w:p>
      <w:pPr>
        <w:pStyle w:val="11"/>
        <w:adjustRightInd w:val="0"/>
        <w:snapToGrid w:val="0"/>
        <w:spacing w:line="560" w:lineRule="exact"/>
        <w:jc w:val="center"/>
        <w:rPr>
          <w:rFonts w:ascii="TimesNewRoman" w:hAnsi="TimesNewRoman" w:eastAsia="黑体" w:cs="TimesNewRoman"/>
          <w:bCs/>
          <w:sz w:val="44"/>
          <w:szCs w:val="44"/>
        </w:rPr>
      </w:pPr>
    </w:p>
    <w:p>
      <w:pPr>
        <w:pStyle w:val="11"/>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2023年2月</w:t>
      </w:r>
    </w:p>
    <w:p/>
    <w:p/>
    <w:p>
      <w:pPr>
        <w:pStyle w:val="11"/>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11"/>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11"/>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2023年部门预算表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1、淮北市自然资源和规划局烈山分局2023年收支总表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2、淮北市自然资源和规划局烈山分局2023年收入总表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3、淮北市自然资源和规划局烈山分局2023年支出总表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4、淮北市自然资源和规划局烈山分局2023年财政拨款收支总表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5、淮北市自然资源和规划局烈山分局2023年一般公共预算支出表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6、淮北市自然资源和规划局烈山分局2023年一般公共预算基本支出表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7、淮北市自然资源和规划局烈山分局2023年政府性基金预算支出表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8、淮北市自然资源和规划局烈山分局2023年国有资本经营预算支出表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9、淮北市自然资源和规划局烈山分局2023年项目支出表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10、淮北市自然资源和规划局烈山分局2023年政府采购支出表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11、淮北市自然资源和规划局烈山分局2023年政府购买服务支出表</w:t>
      </w:r>
    </w:p>
    <w:p>
      <w:pPr>
        <w:pStyle w:val="11"/>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2023年部门预算情况说明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11"/>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11"/>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1、淮北市自然资源和规划局烈山分局2023年部门预算纳入绩效考评项目表</w:t>
      </w:r>
    </w:p>
    <w:p>
      <w:pPr>
        <w:pStyle w:val="11"/>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2、淮北市自然资源和规划局烈山分局2023年部门预算专项资金管理清单（专栏公开）</w:t>
      </w:r>
    </w:p>
    <w:p>
      <w:pPr>
        <w:pStyle w:val="11"/>
        <w:adjustRightInd w:val="0"/>
        <w:snapToGrid w:val="0"/>
        <w:spacing w:line="400" w:lineRule="exact"/>
        <w:ind w:firstLine="800" w:firstLineChars="250"/>
        <w:rPr>
          <w:rFonts w:ascii="TimesNewRoman" w:hAnsi="TimesNewRoman" w:eastAsia="仿宋_GB2312" w:cs="TimesNewRoman"/>
          <w:bCs/>
          <w:sz w:val="32"/>
          <w:szCs w:val="32"/>
        </w:rPr>
      </w:pPr>
    </w:p>
    <w:p>
      <w:pPr>
        <w:pStyle w:val="11"/>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宣传贯彻执行国土资源管理的法律法规和有关方针政策；落实土地利用总体规划、矿产资源规划和动态巡查制度；依法监督管理本区域内土地、矿产资源和测绘工作；组织实施基本农田保护和未利用土地开发、整理、复垦工作；协助市局做好各类用地的审查报批、建设用地管理、地籍管理、建设项目的评估选址、非煤矿山管理、测绘管理工作；对矿业权人履行法定权利义务、矿产资源合理开发利用与保护、矿山生态环境保护与治理进行监督检查；协助做好地质灾害监测和防治工作、地下水等地质环境资源的动态监测和地质遗迹的保护工作；开展国土资源执法监察，配合市局查处辖区内土地、矿产、测绘违法案件；做好对辖区内国土资源所人员和业务的管理工作；做好国土资源信访接待工作，及时调处和化解矛盾，发现重大上访苗头，及时向当地党委、政府和上级国土资源部门报告。</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widowControl/>
        <w:adjustRightInd w:val="0"/>
        <w:snapToGrid w:val="0"/>
        <w:spacing w:line="360" w:lineRule="auto"/>
        <w:ind w:firstLine="627" w:firstLineChars="196"/>
        <w:rPr>
          <w:rFonts w:ascii="仿宋_GB2312" w:hAnsi="仿宋" w:eastAsia="仿宋_GB2312" w:cs="仿宋"/>
          <w:bCs/>
          <w:kern w:val="0"/>
          <w:sz w:val="32"/>
          <w:szCs w:val="32"/>
        </w:rPr>
      </w:pPr>
      <w:r>
        <w:rPr>
          <w:rFonts w:hint="eastAsia" w:ascii="仿宋_GB2312" w:hAnsi="仿宋" w:eastAsia="仿宋_GB2312" w:cs="仿宋"/>
          <w:bCs/>
          <w:kern w:val="0"/>
          <w:sz w:val="32"/>
          <w:szCs w:val="32"/>
        </w:rPr>
        <w:t>从预算单位构成看，淮北市自然资源和规划局烈山分局2023年度部门预算包括局本级预算和局下属单位预算，纳入部门预算编制范围的预算单位共1个，具体情况见下表。</w:t>
      </w:r>
    </w:p>
    <w:tbl>
      <w:tblPr>
        <w:tblStyle w:val="12"/>
        <w:tblW w:w="9000" w:type="dxa"/>
        <w:tblInd w:w="288" w:type="dxa"/>
        <w:shd w:val="clear" w:color="auto" w:fill="FFFFFF"/>
        <w:tblLayout w:type="fixed"/>
        <w:tblCellMar>
          <w:top w:w="0" w:type="dxa"/>
          <w:left w:w="0" w:type="dxa"/>
          <w:bottom w:w="0" w:type="dxa"/>
          <w:right w:w="0" w:type="dxa"/>
        </w:tblCellMar>
      </w:tblPr>
      <w:tblGrid>
        <w:gridCol w:w="729"/>
        <w:gridCol w:w="4080"/>
        <w:gridCol w:w="4191"/>
      </w:tblGrid>
      <w:tr>
        <w:tblPrEx>
          <w:shd w:val="clear" w:color="auto" w:fill="FFFFFF"/>
          <w:tblCellMar>
            <w:top w:w="0" w:type="dxa"/>
            <w:left w:w="0" w:type="dxa"/>
            <w:bottom w:w="0" w:type="dxa"/>
            <w:right w:w="0" w:type="dxa"/>
          </w:tblCellMar>
        </w:tblPrEx>
        <w:trPr>
          <w:trHeight w:val="397" w:hRule="exact"/>
        </w:trPr>
        <w:tc>
          <w:tcPr>
            <w:tcW w:w="72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序号</w:t>
            </w:r>
          </w:p>
        </w:tc>
        <w:tc>
          <w:tcPr>
            <w:tcW w:w="4080"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单位名称</w:t>
            </w:r>
          </w:p>
        </w:tc>
        <w:tc>
          <w:tcPr>
            <w:tcW w:w="4191" w:type="dxa"/>
            <w:tcBorders>
              <w:top w:val="single" w:color="auto" w:sz="8" w:space="0"/>
              <w:left w:val="nil"/>
              <w:bottom w:val="single" w:color="auto" w:sz="8" w:space="0"/>
              <w:right w:val="single" w:color="auto" w:sz="8" w:space="0"/>
            </w:tcBorders>
            <w:shd w:val="clear" w:color="auto" w:fill="FFFFFF"/>
            <w:noWrap/>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单位性质</w:t>
            </w:r>
          </w:p>
        </w:tc>
      </w:tr>
      <w:tr>
        <w:tblPrEx>
          <w:tblCellMar>
            <w:top w:w="0" w:type="dxa"/>
            <w:left w:w="0" w:type="dxa"/>
            <w:bottom w:w="0" w:type="dxa"/>
            <w:right w:w="0" w:type="dxa"/>
          </w:tblCellMar>
        </w:tblPrEx>
        <w:trPr>
          <w:trHeight w:val="397" w:hRule="exact"/>
        </w:trPr>
        <w:tc>
          <w:tcPr>
            <w:tcW w:w="729"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sz w:val="24"/>
              </w:rPr>
              <w:t>1</w:t>
            </w:r>
          </w:p>
        </w:tc>
        <w:tc>
          <w:tcPr>
            <w:tcW w:w="408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淮北市自然资源和规划局烈山分局</w:t>
            </w:r>
          </w:p>
        </w:tc>
        <w:tc>
          <w:tcPr>
            <w:tcW w:w="4191" w:type="dxa"/>
            <w:tcBorders>
              <w:top w:val="nil"/>
              <w:left w:val="nil"/>
              <w:bottom w:val="single" w:color="auto" w:sz="8" w:space="0"/>
              <w:right w:val="single" w:color="auto" w:sz="8" w:space="0"/>
            </w:tcBorders>
            <w:shd w:val="clear" w:color="auto" w:fill="FFFFFF"/>
            <w:noWrap/>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行政单位</w:t>
            </w:r>
          </w:p>
        </w:tc>
      </w:tr>
    </w:tbl>
    <w:p>
      <w:pPr>
        <w:pStyle w:val="11"/>
        <w:adjustRightInd w:val="0"/>
        <w:snapToGrid w:val="0"/>
        <w:spacing w:before="0" w:beforeAutospacing="0" w:after="0" w:afterAutospacing="0" w:line="560" w:lineRule="exact"/>
        <w:ind w:firstLine="627" w:firstLineChars="196"/>
        <w:rPr>
          <w:rFonts w:ascii="TimesNewRoman" w:hAnsi="TimesNewRoman" w:eastAsia="仿宋_GB2312" w:cs="TimesNewRoman"/>
          <w:bCs/>
          <w:sz w:val="32"/>
          <w:szCs w:val="32"/>
        </w:rPr>
      </w:pPr>
    </w:p>
    <w:p>
      <w:pPr>
        <w:pStyle w:val="11"/>
        <w:adjustRightInd w:val="0"/>
        <w:snapToGrid w:val="0"/>
        <w:spacing w:before="0" w:beforeAutospacing="0" w:after="0" w:afterAutospacing="0"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是全面贯彻党的二十大精神，奋力开启全面建设社会主义现代化建设的关键一年，也是国土空间规划实施的首开之年。回顾2022，虽然烈山分局各项工作取得一定的进展，但仍然要认真总结经验、吸取教训，全局上下要坚持做到“两个维护”、“三个务必”“四个自信”，继续在市局的坚强领导下，以主人翁的精神全力服务地方经济发展。</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一是始终保持坚强政治定力。</w:t>
      </w:r>
      <w:r>
        <w:rPr>
          <w:rFonts w:hint="eastAsia" w:ascii="仿宋_GB2312" w:hAnsi="仿宋_GB2312" w:eastAsia="仿宋_GB2312" w:cs="仿宋_GB2312"/>
          <w:sz w:val="32"/>
          <w:szCs w:val="32"/>
        </w:rPr>
        <w:t>坚定以习近平新时代中国特色社会主义思想统揽指导各项工作，认真学习贯彻党的二十大精神，全面部署落实党和国家、省市决策部署，继续在地方经济社会发展中抢争前列。</w:t>
      </w:r>
    </w:p>
    <w:p>
      <w:pPr>
        <w:spacing w:line="540" w:lineRule="exact"/>
        <w:ind w:firstLine="643" w:firstLineChars="200"/>
      </w:pPr>
      <w:r>
        <w:rPr>
          <w:rFonts w:hint="eastAsia" w:ascii="仿宋_GB2312" w:hAnsi="仿宋_GB2312" w:eastAsia="仿宋_GB2312" w:cs="仿宋_GB2312"/>
          <w:b/>
          <w:bCs/>
          <w:sz w:val="32"/>
          <w:szCs w:val="32"/>
        </w:rPr>
        <w:t>二是持续提升要素保障能力。</w:t>
      </w:r>
      <w:r>
        <w:rPr>
          <w:rFonts w:hint="eastAsia" w:ascii="仿宋_GB2312" w:hAnsi="仿宋_GB2312" w:eastAsia="仿宋_GB2312" w:cs="仿宋_GB2312"/>
          <w:sz w:val="32"/>
          <w:szCs w:val="32"/>
        </w:rPr>
        <w:t>统筹开展年度变更调查、进出平衡方案、耕地后备资源调查、耕地流入流出调查等工作，提前布局、摸清家底，抓住林地一张图与三调融合机遇，深挖新增耕地潜力，加强年度土地综合整治方案实施监督与技术服务，全面提升土地资源要素保障能力。</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三是加快释放土地资源活力。</w:t>
      </w:r>
      <w:r>
        <w:rPr>
          <w:rFonts w:hint="eastAsia" w:ascii="Times New Roman" w:hAnsi="Times New Roman" w:eastAsia="仿宋_GB2312" w:cs="Times New Roman"/>
          <w:sz w:val="32"/>
          <w:szCs w:val="32"/>
        </w:rPr>
        <w:t>按照“用最快速度让最好项目获得最优自然资源要素保障”原则，科学制定年度国有建设用地和集体经营性建设用地计划，加快推进各类建设项目土地报批、供应工作，积极协调和促进批而未供土地处置和低效闲置企业处置工作。</w:t>
      </w:r>
    </w:p>
    <w:p>
      <w:pPr>
        <w:pStyle w:val="17"/>
        <w:spacing w:line="540" w:lineRule="exact"/>
        <w:ind w:firstLine="643" w:firstLineChars="200"/>
        <w:rPr>
          <w:rFonts w:ascii="Times New Roman" w:hAnsi="Times New Roman" w:eastAsia="仿宋_GB2312"/>
          <w:color w:val="auto"/>
          <w:kern w:val="2"/>
          <w:sz w:val="32"/>
          <w:szCs w:val="32"/>
        </w:rPr>
      </w:pPr>
      <w:r>
        <w:rPr>
          <w:rFonts w:hint="eastAsia" w:ascii="Times New Roman" w:hAnsi="Times New Roman" w:eastAsia="仿宋_GB2312"/>
          <w:b/>
          <w:bCs/>
          <w:color w:val="auto"/>
          <w:kern w:val="2"/>
          <w:sz w:val="32"/>
          <w:szCs w:val="32"/>
        </w:rPr>
        <w:t>四是不断增强经济发展动力。</w:t>
      </w:r>
      <w:r>
        <w:rPr>
          <w:rFonts w:hint="eastAsia" w:ascii="Times New Roman" w:hAnsi="Times New Roman" w:eastAsia="仿宋_GB2312"/>
          <w:color w:val="auto"/>
          <w:kern w:val="2"/>
          <w:sz w:val="32"/>
          <w:szCs w:val="32"/>
        </w:rPr>
        <w:t>用好用足自然资源政策红利，主动对接经济发展先行地区，推动碳汇交易、设施农用地管理、全域土地综合整治、EOD生态修复等工作的政策出台。变土地资源要素保障为自然资源要素保障，为地方经济发展提供多种动力来源。</w:t>
      </w:r>
    </w:p>
    <w:p>
      <w:pPr>
        <w:pStyle w:val="11"/>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2023年部门预算表</w:t>
      </w:r>
    </w:p>
    <w:p>
      <w:pPr>
        <w:pStyle w:val="11"/>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p>
      <w:pPr>
        <w:pStyle w:val="11"/>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2023年部门预算情况说明</w:t>
      </w:r>
    </w:p>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11"/>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自然资源和规划局烈山分局所有收入和支出均纳入部门预算管理。淮北市自然资源和规划局烈山分局2023年收支总预算838.48万元，收入包括:一般公共预算拨款收入、政府性基金预算拨款收入，支出包括：社会保障和就业支出、卫生健康支出、</w:t>
      </w:r>
      <w:r>
        <w:rPr>
          <w:rFonts w:hint="eastAsia" w:ascii="仿宋_GB2312" w:hAnsi="仿宋" w:eastAsia="仿宋_GB2312"/>
          <w:sz w:val="32"/>
          <w:szCs w:val="32"/>
        </w:rPr>
        <w:t>城乡社区支出、自然资源海洋气象等支出、</w:t>
      </w:r>
      <w:r>
        <w:rPr>
          <w:rFonts w:hint="eastAsia" w:ascii="TimesNewRoman" w:hAnsi="TimesNewRoman" w:eastAsia="仿宋_GB2312" w:cs="TimesNewRoman"/>
          <w:sz w:val="32"/>
          <w:szCs w:val="32"/>
        </w:rPr>
        <w:t>住房保障支出。</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淮北市自然资源和规划局烈山分局2023年收入预算</w:t>
      </w:r>
      <w:r>
        <w:rPr>
          <w:rFonts w:hint="eastAsia" w:ascii="TimesNewRoman" w:hAnsi="TimesNewRoman" w:eastAsia="仿宋_GB2312" w:cs="TimesNewRoman"/>
          <w:sz w:val="32"/>
          <w:szCs w:val="32"/>
        </w:rPr>
        <w:t>838.48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rPr>
        <w:t>838.48</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rPr>
        <w:t>838.48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主要包括：一般公共预算拨款收入696.48万元，占83.06%，比2022年预算增加190.29万元，增长37.6%，原因主要是</w:t>
      </w:r>
      <w:r>
        <w:rPr>
          <w:rFonts w:hint="eastAsia" w:ascii="仿宋_GB2312" w:hAnsi="仿宋" w:eastAsia="仿宋_GB2312" w:cs="Times New Roman"/>
          <w:sz w:val="32"/>
          <w:szCs w:val="32"/>
        </w:rPr>
        <w:t>增加基础绩效奖</w:t>
      </w:r>
      <w:r>
        <w:rPr>
          <w:rFonts w:hint="eastAsia" w:ascii="TimesNewRoman" w:hAnsi="TimesNewRoman" w:eastAsia="仿宋_GB2312" w:cs="TimesNewRoman"/>
          <w:kern w:val="0"/>
          <w:sz w:val="32"/>
          <w:szCs w:val="32"/>
        </w:rPr>
        <w:t>；政府性基金预算拨款收入142万元，占16.94%，比2022年预算增加7.6万元，增长5.65%，原因主要是项目支出增加；财政专户管理资金收入0万元，占0%，与2022年预算一致。</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淮北市自然资源和规划局烈山分局2023年支出预算838.48万元，比2022年预算增加197.89万元，增长30.9%，原因主要是</w:t>
      </w:r>
      <w:r>
        <w:rPr>
          <w:rFonts w:hint="eastAsia" w:ascii="仿宋_GB2312" w:hAnsi="仿宋" w:eastAsia="仿宋_GB2312" w:cs="Times New Roman"/>
          <w:sz w:val="32"/>
          <w:szCs w:val="32"/>
        </w:rPr>
        <w:t>增加基础绩效奖、</w:t>
      </w:r>
      <w:r>
        <w:rPr>
          <w:rFonts w:hint="eastAsia" w:ascii="TimesNewRoman" w:hAnsi="TimesNewRoman" w:eastAsia="仿宋_GB2312" w:cs="TimesNewRoman"/>
          <w:kern w:val="0"/>
          <w:sz w:val="32"/>
          <w:szCs w:val="32"/>
        </w:rPr>
        <w:t>项目支出增加</w:t>
      </w:r>
      <w:r>
        <w:rPr>
          <w:rFonts w:hint="eastAsia" w:ascii="仿宋_GB2312" w:hAnsi="仿宋" w:eastAsia="仿宋_GB2312"/>
          <w:sz w:val="32"/>
          <w:szCs w:val="32"/>
        </w:rPr>
        <w:t>。</w:t>
      </w:r>
      <w:r>
        <w:rPr>
          <w:rFonts w:hint="eastAsia" w:ascii="TimesNewRoman" w:hAnsi="TimesNewRoman" w:eastAsia="仿宋_GB2312" w:cs="TimesNewRoman"/>
          <w:kern w:val="0"/>
          <w:sz w:val="32"/>
          <w:szCs w:val="32"/>
        </w:rPr>
        <w:t>其中，基本支出696.48万元，占83.06%，主要用于保障机构日常运转、完成日常工作任务；项目支出142万元，占16.94%，主要用于分</w:t>
      </w:r>
      <w:r>
        <w:rPr>
          <w:rFonts w:hint="eastAsia" w:ascii="仿宋_GB2312" w:hAnsi="仿宋" w:eastAsia="仿宋_GB2312"/>
          <w:sz w:val="32"/>
          <w:szCs w:val="32"/>
        </w:rPr>
        <w:t>局和自然资源和规划所项目支出。</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财政拨款收支预算838.48万元。收入按资金来源分为：一般公共预算拨款696.48万元、政府性基金预算拨款142万元；按资金年度分为：本年财政拨款收入838.48万元。支出按功能分类分为：社会保障和就业支出109.09万元，占13.01%；卫生健康支出33.21万元，占3.96%；城乡社区支出</w:t>
      </w:r>
      <w:r>
        <w:rPr>
          <w:rFonts w:hint="eastAsia" w:ascii="TimesNewRoman" w:hAnsi="TimesNewRoman" w:eastAsia="仿宋_GB2312" w:cs="TimesNewRoman"/>
          <w:color w:val="000000" w:themeColor="text1"/>
          <w:kern w:val="0"/>
          <w:sz w:val="32"/>
          <w:szCs w:val="32"/>
        </w:rPr>
        <w:t>142</w:t>
      </w:r>
      <w:r>
        <w:rPr>
          <w:rFonts w:hint="eastAsia" w:ascii="TimesNewRoman" w:hAnsi="TimesNewRoman" w:eastAsia="仿宋_GB2312" w:cs="TimesNewRoman"/>
          <w:kern w:val="0"/>
          <w:sz w:val="32"/>
          <w:szCs w:val="32"/>
        </w:rPr>
        <w:t>万元，占16.94%；自然资源海洋气象等支出467.1万元，占55.71%；住房保障支出87.07万元，占10.38% 。</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11"/>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pStyle w:val="11"/>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淮北市自然资源和规划局烈山分局2023年一般公共预算支出696.48万元，比2022年预算增加190.29万元，增长37.6%，主要原因：</w:t>
      </w:r>
      <w:r>
        <w:rPr>
          <w:rFonts w:hint="eastAsia" w:ascii="仿宋_GB2312" w:hAnsi="仿宋" w:eastAsia="仿宋_GB2312" w:cs="Times New Roman"/>
          <w:kern w:val="2"/>
          <w:sz w:val="32"/>
          <w:szCs w:val="32"/>
        </w:rPr>
        <w:t>增加基础绩效奖。</w:t>
      </w:r>
    </w:p>
    <w:p>
      <w:pPr>
        <w:pStyle w:val="11"/>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社会保障和就业支出109.09万元，占13.01%；卫生健康支出33.21万元，占3.96%；城乡社区支出142万元，占16.94%；自然资源海洋气象等支出467.1万元，占55.71%；住房保障支出87.07万元，占10.38%。</w:t>
      </w:r>
    </w:p>
    <w:p>
      <w:pPr>
        <w:pStyle w:val="11"/>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（类）行政事业单位养老支出（款）行政单位离退休（项）</w:t>
      </w:r>
      <w:r>
        <w:rPr>
          <w:rFonts w:hint="eastAsia" w:ascii="TimesNewRoman" w:hAnsi="TimesNewRoman" w:eastAsia="仿宋_GB2312" w:cs="TimesNewRoman"/>
          <w:kern w:val="0"/>
          <w:sz w:val="32"/>
          <w:szCs w:val="32"/>
        </w:rPr>
        <w:t>2023年预算15.03万元，比2022年预算增加10.19万元，增长210.54%，原因主要是增加退休人员绩效奖金。</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（类）行政事业单位养老支出（款）机关事业单位基本养老保险缴费支出（项）</w:t>
      </w:r>
      <w:r>
        <w:rPr>
          <w:rFonts w:hint="eastAsia" w:ascii="TimesNewRoman" w:hAnsi="TimesNewRoman" w:eastAsia="仿宋_GB2312" w:cs="TimesNewRoman"/>
          <w:kern w:val="0"/>
          <w:sz w:val="32"/>
          <w:szCs w:val="32"/>
        </w:rPr>
        <w:t>2023年预算61.39万元，比2022年预算增加18.65万元，增长43.64%，原因主要是社保基数调整及</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rPr>
        <w:t>3、</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（类）行政事业单位养老支出（款）机关事业单位职业年金缴费支出（项）</w:t>
      </w:r>
      <w:r>
        <w:rPr>
          <w:rFonts w:hint="eastAsia" w:ascii="TimesNewRoman" w:hAnsi="TimesNewRoman" w:eastAsia="仿宋_GB2312" w:cs="TimesNewRoman"/>
          <w:kern w:val="0"/>
          <w:sz w:val="32"/>
          <w:szCs w:val="32"/>
        </w:rPr>
        <w:t>2023年预算30.69万元，比2022年预算增加9.32万元，增长43.61%，原因主要是社保基数调整及</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（类）行政事业单位养老支出（款）其他行政事业单位养老支出（项）</w:t>
      </w:r>
      <w:r>
        <w:rPr>
          <w:rFonts w:hint="eastAsia" w:ascii="TimesNewRoman" w:hAnsi="TimesNewRoman" w:eastAsia="仿宋_GB2312" w:cs="TimesNewRoman"/>
          <w:kern w:val="0"/>
          <w:sz w:val="32"/>
          <w:szCs w:val="32"/>
        </w:rPr>
        <w:t>2023年预算0.09万元，比2022年预算增加0.09万元，增长100%，原因主要是功能科目调整。</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（类）其他社会保障和就业支出（款）其他社会保障和就业支出（项）</w:t>
      </w:r>
      <w:r>
        <w:rPr>
          <w:rFonts w:hint="eastAsia" w:ascii="TimesNewRoman" w:hAnsi="TimesNewRoman" w:eastAsia="仿宋_GB2312" w:cs="TimesNewRoman"/>
          <w:kern w:val="0"/>
          <w:sz w:val="32"/>
          <w:szCs w:val="32"/>
        </w:rPr>
        <w:t>2023年预算1.9万元，比2022年预算增加0.18万元，增长10.47%，原因主要是社保基数调整及人员变动。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（类）行政事业单位医疗（款）事业单位医疗（项）</w:t>
      </w:r>
      <w:r>
        <w:rPr>
          <w:rFonts w:hint="eastAsia" w:ascii="TimesNewRoman" w:hAnsi="TimesNewRoman" w:eastAsia="仿宋_GB2312" w:cs="TimesNewRoman"/>
          <w:kern w:val="0"/>
          <w:sz w:val="32"/>
          <w:szCs w:val="32"/>
        </w:rPr>
        <w:t>2023年预算23.86万元，比2022年预算增加23.86万元，增长100%，原因主要是功能科目调整。</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（类）行政事业单位医疗（款）公务员医疗补助（项）</w:t>
      </w:r>
      <w:r>
        <w:rPr>
          <w:rFonts w:hint="eastAsia" w:ascii="TimesNewRoman" w:hAnsi="TimesNewRoman" w:eastAsia="仿宋_GB2312" w:cs="TimesNewRoman"/>
          <w:kern w:val="0"/>
          <w:sz w:val="32"/>
          <w:szCs w:val="32"/>
        </w:rPr>
        <w:t>2023年预算9.35万元，比2022年预算增加1.34万元，增长16.73%，原因主要是医保基数调整和人员变动。</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8、</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（类）自然资源事务（款）行政运行（项）</w:t>
      </w:r>
      <w:r>
        <w:rPr>
          <w:rFonts w:hint="eastAsia" w:ascii="TimesNewRoman" w:hAnsi="TimesNewRoman" w:eastAsia="仿宋_GB2312" w:cs="TimesNewRoman"/>
          <w:kern w:val="0"/>
          <w:sz w:val="32"/>
          <w:szCs w:val="32"/>
        </w:rPr>
        <w:t>2023年预算55.25万元，比2022年预算减少10.84万元，下降16.4%，原因主要是</w:t>
      </w:r>
      <w:r>
        <w:rPr>
          <w:rFonts w:hint="eastAsia" w:ascii="仿宋_GB2312" w:hAnsi="仿宋" w:eastAsia="仿宋_GB2312"/>
          <w:sz w:val="32"/>
          <w:szCs w:val="32"/>
        </w:rPr>
        <w:t>人员变动。</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9、</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（类）自然资源事务（款）事业运行（项）</w:t>
      </w:r>
      <w:r>
        <w:rPr>
          <w:rFonts w:hint="eastAsia" w:ascii="TimesNewRoman" w:hAnsi="TimesNewRoman" w:eastAsia="仿宋_GB2312" w:cs="TimesNewRoman"/>
          <w:kern w:val="0"/>
          <w:sz w:val="32"/>
          <w:szCs w:val="32"/>
        </w:rPr>
        <w:t>2023年预算411.86万元，比2022年预算增加137.63万元，增长50.19%，原因主要是</w:t>
      </w:r>
      <w:r>
        <w:rPr>
          <w:rFonts w:hint="eastAsia" w:ascii="仿宋_GB2312" w:hAnsi="仿宋" w:eastAsia="仿宋_GB2312"/>
          <w:sz w:val="32"/>
          <w:szCs w:val="32"/>
        </w:rPr>
        <w:t>增加绩效奖金及人员变动。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（类）住房改革支出（款）住房公积金（项）</w:t>
      </w:r>
      <w:r>
        <w:rPr>
          <w:rFonts w:hint="eastAsia" w:ascii="TimesNewRoman" w:hAnsi="TimesNewRoman" w:eastAsia="仿宋_GB2312" w:cs="TimesNewRoman"/>
          <w:kern w:val="0"/>
          <w:sz w:val="32"/>
          <w:szCs w:val="32"/>
        </w:rPr>
        <w:t>2023年预算61.46万元，比2022年预算增加15.82万元，增长34.67%，原因主要是公积金基数调整及人员变动。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（类）住房改革支出（款）购房补贴（项）</w:t>
      </w:r>
      <w:r>
        <w:rPr>
          <w:rFonts w:hint="eastAsia" w:ascii="TimesNewRoman" w:hAnsi="TimesNewRoman" w:eastAsia="仿宋_GB2312" w:cs="TimesNewRoman"/>
          <w:kern w:val="0"/>
          <w:sz w:val="32"/>
          <w:szCs w:val="32"/>
        </w:rPr>
        <w:t>2023年预算25.61万元，比2022年预算增加6.59万元，增长34.65%，原因主要是公积金基数调整及人员变动。</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淮北市自然资源和规划局烈山分局2023年一般公共预算基本支出696.48万元，其中，人员经费644.64万元，公用经费51.84万元。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（一）人员经费644.64万元，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办公费、工会经费、福利费、其他交通费用，住房公积金、其他商品服务支出、离休费、退休费、生活补助、医疗费补助、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（二）公用经费51.84万元，</w:t>
      </w:r>
      <w:r>
        <w:rPr>
          <w:rFonts w:hint="eastAsia" w:ascii="TimesNewRoman" w:hAnsi="TimesNewRoman" w:eastAsia="仿宋_GB2312" w:cs="TimesNewRoman"/>
          <w:kern w:val="0"/>
          <w:sz w:val="32"/>
          <w:szCs w:val="32"/>
        </w:rPr>
        <w:t>主要包括：其他交通费用、其他商品服务支出。</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淮北市自然资源和规划局烈山分局2023年政府性基金支出142万元，比2022年预算增加7.6万元，增长5.65%，主要原因是项目支出增加。具体情况如下：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2023年预算142万元，比2022年预算增加7.6万元，增长5.65%，原因主要是项目支出增加。</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淮北市自然资源和规划局烈山分局2023年没有国有资本经营预算拨款收入，也没有使用国有资本经营预算拨款安排的支出。</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淮北市自然资源和规划局烈山分局2023年预算共安排项目支出142万元，比2022年预算增加7.6万元，增长5.65%，原因主要是项目支出增加。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主要包括：本年财政拨款安排142万元（其中，一般公共预算拨款安排0万元，政府性基金预算拨款安排142万元），财政专户管理资金安排0万元。</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淮北市自然资源和规划局烈山分局2023年没有使用一般公共预算拨款、政府性基金预算拨款、国有资本经营预算拨款、财政专户管理资金和单位资金安排的政府采购支出。</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淮北市自然资源和规划局烈山分局2023年预算没有安排政府购买服务支出。</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pStyle w:val="11"/>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（一）项目及绩效目标情况</w:t>
      </w:r>
    </w:p>
    <w:p>
      <w:pPr>
        <w:adjustRightInd w:val="0"/>
        <w:snapToGrid w:val="0"/>
        <w:spacing w:line="580" w:lineRule="exact"/>
        <w:ind w:firstLine="640" w:firstLineChars="200"/>
        <w:rPr>
          <w:rFonts w:ascii="仿宋_GB2312" w:hAnsi="楷体" w:eastAsia="仿宋_GB2312" w:cs="Times New Roman"/>
          <w:b/>
          <w:bCs/>
          <w:sz w:val="32"/>
          <w:szCs w:val="32"/>
        </w:rPr>
      </w:pPr>
      <w:r>
        <w:rPr>
          <w:rFonts w:hint="eastAsia" w:ascii="TimesNewRoman" w:hAnsi="TimesNewRoman" w:eastAsia="仿宋_GB2312" w:cs="TimesNewRoman"/>
          <w:bCs/>
          <w:sz w:val="32"/>
          <w:szCs w:val="32"/>
          <w:lang w:val="en-US" w:eastAsia="zh-CN"/>
        </w:rPr>
        <w:t>1</w:t>
      </w:r>
      <w:r>
        <w:rPr>
          <w:rFonts w:hint="eastAsia" w:ascii="TimesNewRoman" w:hAnsi="TimesNewRoman" w:eastAsia="仿宋_GB2312" w:cs="TimesNewRoman"/>
          <w:bCs/>
          <w:sz w:val="32"/>
          <w:szCs w:val="32"/>
        </w:rPr>
        <w:t>、</w:t>
      </w:r>
      <w:r>
        <w:rPr>
          <w:rFonts w:hint="eastAsia" w:ascii="TimesNewRoman" w:hAnsi="TimesNewRoman" w:eastAsia="仿宋_GB2312" w:cs="TimesNewRoman"/>
          <w:b/>
          <w:sz w:val="32"/>
          <w:szCs w:val="32"/>
        </w:rPr>
        <w:t>“</w:t>
      </w:r>
      <w:r>
        <w:rPr>
          <w:rFonts w:hint="eastAsia" w:ascii="仿宋_GB2312" w:hAnsi="楷体" w:eastAsia="仿宋_GB2312" w:cs="Times New Roman"/>
          <w:b/>
          <w:bCs/>
          <w:sz w:val="32"/>
          <w:szCs w:val="32"/>
        </w:rPr>
        <w:t>自然资源业务费”</w:t>
      </w:r>
      <w:r>
        <w:rPr>
          <w:rFonts w:hint="eastAsia" w:ascii="仿宋_GB2312" w:hAnsi="楷体" w:eastAsia="仿宋_GB2312" w:cs="Times New Roman"/>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（1）项目概述。一、</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办公运行：1、取暖制冷补助，为改善</w:t>
      </w:r>
      <w:bookmarkStart w:id="0" w:name="_GoBack"/>
      <w:bookmarkEnd w:id="0"/>
      <w:r>
        <w:rPr>
          <w:rFonts w:hint="eastAsia" w:ascii="TimesNewRoman" w:hAnsi="TimesNewRoman" w:eastAsia="仿宋_GB2312" w:cs="TimesNewRoman"/>
          <w:kern w:val="0"/>
          <w:sz w:val="32"/>
          <w:szCs w:val="32"/>
        </w:rPr>
        <w:t>办公环境，确保职工正常采暖制冷，结合当前物价上涨水平，需申请取暖制冷补助。2、档案管理维护费，为统一国土资源业务档案管理，实现档案纸质化和电子化，提高资料查询效率与档案保管的年限，需申请经费。3、办公设备购置，办公设备老化，分局需新采购一批电脑、相机、打印机。二、专项业务费：1、普法宣传教育，完成普法宣传教育工作目标，加大国土资源法律法规宣传力度。2、土地变更调查 ,加强宅基地管理，外业测量、内业编制报告完善档案资料。3、处理信访业务费 ，处理经济发展土地征用采煤塌陷矛盾冲突。4、国土资源业务培训费，用于干部教育培训，业务学习培训。5、征迁业务费，土地征用村庄搬迁需工作经费。6、土地资本运营是一项系统工程，从土地储备到土地供应，期间发生的各项费用。只有发挥系统功能的作用，才能实现土地资本运营收益的最大化。土地资本运营业务费包括土地业务人员办公费、印刷费、培训费、差旅费、维修（护）费、规划、评标、勘测、公告、公证等委托业务费，会议费，土地评标、拍卖主持人、保洁人员劳务费，信息网络购建费。7、土地调查数据库更新：用于更新农村土地利用现状数据库，为经济发展和国土资源服务；年度土地变更调查数据更新，用于年度变更调查和成果确认后数据库更新及软件升级。8、党建活动租车费6、地质灾害防治经费，9、测量标志管护费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（2）立项依据。一、</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淮行管【2011】8号；二、1、全国人大常委会关于进一步加强法制宣传教育的决议，皖法制办《2011》11号，皖国土资函【2011】439号，国土资电发【2011】85号。2、《国土资源部关于开展2010年全国土地变更调查与遥感监测工作的通知》（国土资电发【2010】145号。3、淮信组【2010】7号。 4、《2012年全市干部培训教育工作要点》、《干部教育培训工作条例（试行）》、《2012年国土资源培训教育计划》5、皖价房【2012】47号，【1992】价费字597号，淮政办【2007】30号。《2015年度国有土地收购储备及招拍挂出让计划》、土委会会议纪要、财综字【1995】326号。《自然资源部关于开展2018年度全国土地变更调查与遥感监测工作的通知》（自然资发【2018】139号。</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（3）实施主体：淮北市自然资源和规划局烈山分局烈山分局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（4）起止时间：2023.01-2023.12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（5）项目内容。办公运行费用及专项业务费。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（6）年度预算安排：70万元</w:t>
      </w:r>
    </w:p>
    <w:p>
      <w:pPr>
        <w:ind w:firstLine="640" w:firstLineChars="200"/>
        <w:rPr>
          <w:rFonts w:ascii="仿宋_GB2312" w:hAnsi="楷体" w:eastAsia="仿宋_GB2312" w:cs="Times New Roman"/>
          <w:sz w:val="32"/>
          <w:szCs w:val="32"/>
        </w:rPr>
      </w:pPr>
      <w:r>
        <w:rPr>
          <w:rFonts w:hint="eastAsia" w:ascii="TimesNewRoman" w:hAnsi="TimesNewRoman" w:eastAsia="仿宋_GB2312" w:cs="TimesNewRoman"/>
          <w:kern w:val="0"/>
          <w:sz w:val="32"/>
          <w:szCs w:val="32"/>
        </w:rPr>
        <w:t>（7）绩效目标。</w:t>
      </w:r>
    </w:p>
    <w:tbl>
      <w:tblPr>
        <w:tblStyle w:val="1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ign w:val="center"/>
          </w:tcPr>
          <w:p>
            <w:pPr>
              <w:jc w:val="center"/>
              <w:rPr>
                <w:rFonts w:ascii="宋体" w:hAnsi="Calibri" w:eastAsia="宋体" w:cs="宋体"/>
                <w:sz w:val="20"/>
              </w:rPr>
            </w:pPr>
            <w:r>
              <w:rPr>
                <w:rFonts w:hint="eastAsia" w:ascii="宋体" w:hAnsi="Calibri" w:eastAsia="宋体" w:cs="宋体"/>
                <w:b/>
                <w:bCs/>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ign w:val="center"/>
          </w:tcPr>
          <w:p>
            <w:pPr>
              <w:jc w:val="center"/>
              <w:rPr>
                <w:rFonts w:ascii="宋体" w:hAnsi="Calibri" w:eastAsia="宋体" w:cs="宋体"/>
                <w:sz w:val="20"/>
              </w:rPr>
            </w:pPr>
            <w:r>
              <w:rPr>
                <w:rFonts w:hint="eastAsia" w:ascii="宋体" w:hAnsi="Calibri" w:eastAsia="宋体" w:cs="宋体"/>
                <w:sz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项目名称</w:t>
            </w:r>
          </w:p>
        </w:tc>
        <w:tc>
          <w:tcPr>
            <w:tcW w:w="7577" w:type="dxa"/>
            <w:gridSpan w:val="4"/>
            <w:noWrap/>
            <w:vAlign w:val="center"/>
          </w:tcPr>
          <w:p>
            <w:pPr>
              <w:jc w:val="center"/>
              <w:rPr>
                <w:rFonts w:ascii="宋体" w:hAnsi="Calibri" w:eastAsia="宋体" w:cs="宋体"/>
                <w:sz w:val="20"/>
              </w:rPr>
            </w:pPr>
            <w:r>
              <w:rPr>
                <w:rFonts w:hint="eastAsia" w:ascii="宋体" w:hAnsi="Calibri" w:eastAsia="宋体" w:cs="宋体"/>
                <w:sz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主管部门   及代码</w:t>
            </w: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201-淮北市自然资源和规划局</w:t>
            </w:r>
          </w:p>
        </w:tc>
        <w:tc>
          <w:tcPr>
            <w:tcW w:w="1848" w:type="dxa"/>
            <w:noWrap/>
            <w:vAlign w:val="center"/>
          </w:tcPr>
          <w:p>
            <w:pPr>
              <w:jc w:val="center"/>
              <w:rPr>
                <w:rFonts w:ascii="宋体" w:hAnsi="Calibri" w:eastAsia="宋体" w:cs="宋体"/>
                <w:sz w:val="20"/>
              </w:rPr>
            </w:pPr>
            <w:r>
              <w:rPr>
                <w:rFonts w:hint="eastAsia" w:ascii="宋体" w:hAnsi="Calibri" w:eastAsia="宋体" w:cs="宋体"/>
                <w:sz w:val="20"/>
              </w:rPr>
              <w:t>实施单位</w:t>
            </w:r>
          </w:p>
        </w:tc>
        <w:tc>
          <w:tcPr>
            <w:tcW w:w="2380" w:type="dxa"/>
            <w:noWrap/>
            <w:vAlign w:val="center"/>
          </w:tcPr>
          <w:p>
            <w:pPr>
              <w:jc w:val="center"/>
              <w:rPr>
                <w:rFonts w:ascii="宋体" w:hAnsi="Calibri" w:eastAsia="宋体" w:cs="宋体"/>
                <w:sz w:val="20"/>
              </w:rPr>
            </w:pPr>
            <w:r>
              <w:rPr>
                <w:rFonts w:hint="eastAsia" w:ascii="宋体" w:hAnsi="Calibri" w:eastAsia="宋体" w:cs="宋体"/>
                <w:sz w:val="20"/>
              </w:rPr>
              <w:t>淮北市自然资源和规划局烈山分局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jc w:val="center"/>
              <w:rPr>
                <w:rFonts w:ascii="宋体" w:hAnsi="Calibri" w:eastAsia="宋体" w:cs="宋体"/>
                <w:sz w:val="20"/>
              </w:rPr>
            </w:pPr>
            <w:r>
              <w:rPr>
                <w:rFonts w:hint="eastAsia" w:ascii="宋体" w:hAnsi="Calibri" w:eastAsia="宋体" w:cs="宋体"/>
                <w:sz w:val="20"/>
              </w:rPr>
              <w:t>项目来源</w:t>
            </w:r>
          </w:p>
        </w:tc>
        <w:tc>
          <w:tcPr>
            <w:tcW w:w="3349" w:type="dxa"/>
            <w:gridSpan w:val="2"/>
            <w:noWrap/>
            <w:vAlign w:val="center"/>
          </w:tcPr>
          <w:p>
            <w:pPr>
              <w:jc w:val="center"/>
              <w:rPr>
                <w:rFonts w:ascii="宋体" w:hAnsi="Calibri" w:eastAsia="宋体" w:cs="宋体"/>
                <w:sz w:val="20"/>
              </w:rPr>
            </w:pPr>
            <w:r>
              <w:rPr>
                <w:rFonts w:hint="eastAsia" w:ascii="宋体" w:cs="宋体"/>
                <w:sz w:val="20"/>
              </w:rPr>
              <w:t>1-本级申报项目</w:t>
            </w:r>
          </w:p>
        </w:tc>
        <w:tc>
          <w:tcPr>
            <w:tcW w:w="1848" w:type="dxa"/>
            <w:noWrap/>
            <w:vAlign w:val="center"/>
          </w:tcPr>
          <w:p>
            <w:pPr>
              <w:jc w:val="center"/>
              <w:rPr>
                <w:rFonts w:ascii="宋体" w:hAnsi="Calibri" w:eastAsia="宋体" w:cs="宋体"/>
                <w:sz w:val="20"/>
              </w:rPr>
            </w:pPr>
            <w:r>
              <w:rPr>
                <w:rFonts w:hint="eastAsia" w:ascii="宋体" w:hAnsi="Calibri" w:eastAsia="宋体" w:cs="宋体"/>
                <w:sz w:val="20"/>
              </w:rPr>
              <w:t>项目期</w:t>
            </w:r>
          </w:p>
        </w:tc>
        <w:tc>
          <w:tcPr>
            <w:tcW w:w="2380" w:type="dxa"/>
            <w:noWrap/>
            <w:vAlign w:val="center"/>
          </w:tcPr>
          <w:p>
            <w:pPr>
              <w:jc w:val="center"/>
              <w:rPr>
                <w:rFonts w:ascii="宋体" w:hAnsi="Calibri" w:eastAsia="宋体" w:cs="宋体"/>
                <w:sz w:val="20"/>
              </w:rPr>
            </w:pPr>
            <w:r>
              <w:rPr>
                <w:rFonts w:hint="eastAsia" w:ascii="宋体" w:hAnsi="Calibri" w:eastAsia="宋体" w:cs="宋体"/>
                <w:sz w:val="20"/>
              </w:rPr>
              <w:t>202301-202312</w:t>
            </w:r>
          </w:p>
          <w:p>
            <w:pPr>
              <w:jc w:val="center"/>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ign w:val="center"/>
          </w:tcPr>
          <w:p>
            <w:pPr>
              <w:jc w:val="center"/>
              <w:rPr>
                <w:rFonts w:ascii="宋体" w:hAnsi="Calibri" w:eastAsia="宋体" w:cs="宋体"/>
                <w:sz w:val="20"/>
              </w:rPr>
            </w:pPr>
            <w:r>
              <w:rPr>
                <w:rFonts w:hint="eastAsia" w:ascii="宋体" w:hAnsi="Calibri" w:eastAsia="宋体" w:cs="宋体"/>
                <w:sz w:val="20"/>
              </w:rPr>
              <w:t>项目资金</w:t>
            </w:r>
          </w:p>
          <w:p>
            <w:pPr>
              <w:jc w:val="center"/>
              <w:rPr>
                <w:rFonts w:ascii="宋体" w:hAnsi="Calibri" w:eastAsia="宋体" w:cs="宋体"/>
                <w:sz w:val="20"/>
              </w:rPr>
            </w:pPr>
            <w:r>
              <w:rPr>
                <w:rFonts w:hint="eastAsia" w:ascii="宋体" w:hAnsi="Calibri" w:eastAsia="宋体" w:cs="宋体"/>
                <w:sz w:val="20"/>
              </w:rPr>
              <w:t>（万元）</w:t>
            </w: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年度资金总额：</w:t>
            </w:r>
          </w:p>
        </w:tc>
        <w:tc>
          <w:tcPr>
            <w:tcW w:w="4228" w:type="dxa"/>
            <w:gridSpan w:val="2"/>
            <w:noWrap/>
            <w:vAlign w:val="center"/>
          </w:tcPr>
          <w:p>
            <w:pPr>
              <w:jc w:val="right"/>
              <w:rPr>
                <w:rFonts w:ascii="宋体" w:hAnsi="Calibri" w:eastAsia="宋体" w:cs="宋体"/>
                <w:sz w:val="20"/>
              </w:rPr>
            </w:pPr>
            <w:r>
              <w:rPr>
                <w:rFonts w:hint="eastAsia" w:ascii="宋体" w:hAnsi="Calibri" w:eastAsia="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其中：财政拨款</w:t>
            </w:r>
          </w:p>
        </w:tc>
        <w:tc>
          <w:tcPr>
            <w:tcW w:w="4228" w:type="dxa"/>
            <w:gridSpan w:val="2"/>
            <w:noWrap/>
            <w:vAlign w:val="center"/>
          </w:tcPr>
          <w:p>
            <w:pPr>
              <w:jc w:val="right"/>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上年结转</w:t>
            </w:r>
          </w:p>
        </w:tc>
        <w:tc>
          <w:tcPr>
            <w:tcW w:w="4228" w:type="dxa"/>
            <w:gridSpan w:val="2"/>
            <w:noWrap/>
            <w:vAlign w:val="center"/>
          </w:tcPr>
          <w:p>
            <w:pPr>
              <w:jc w:val="right"/>
              <w:rPr>
                <w:rFonts w:ascii="宋体" w:hAnsi="Calibri"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hAnsi="Calibri" w:eastAsia="宋体" w:cs="宋体"/>
                <w:sz w:val="20"/>
              </w:rPr>
            </w:pPr>
          </w:p>
        </w:tc>
        <w:tc>
          <w:tcPr>
            <w:tcW w:w="3349" w:type="dxa"/>
            <w:gridSpan w:val="2"/>
            <w:noWrap/>
            <w:vAlign w:val="center"/>
          </w:tcPr>
          <w:p>
            <w:pPr>
              <w:jc w:val="center"/>
              <w:rPr>
                <w:rFonts w:ascii="宋体" w:hAnsi="Calibri" w:eastAsia="宋体" w:cs="宋体"/>
                <w:sz w:val="20"/>
              </w:rPr>
            </w:pPr>
            <w:r>
              <w:rPr>
                <w:rFonts w:hint="eastAsia" w:ascii="宋体" w:hAnsi="Calibri" w:eastAsia="宋体" w:cs="宋体"/>
                <w:sz w:val="20"/>
              </w:rPr>
              <w:t xml:space="preserve">         其他资金</w:t>
            </w:r>
          </w:p>
        </w:tc>
        <w:tc>
          <w:tcPr>
            <w:tcW w:w="4228" w:type="dxa"/>
            <w:gridSpan w:val="2"/>
            <w:noWrap/>
            <w:vAlign w:val="center"/>
          </w:tcPr>
          <w:p>
            <w:pPr>
              <w:jc w:val="right"/>
              <w:rPr>
                <w:rFonts w:ascii="宋体" w:hAnsi="Calibri" w:eastAsia="宋体" w:cs="宋体"/>
                <w:sz w:val="20"/>
              </w:rPr>
            </w:pPr>
            <w:r>
              <w:rPr>
                <w:rFonts w:hint="eastAsia" w:ascii="宋体" w:hAnsi="Calibri" w:eastAsia="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ign w:val="center"/>
          </w:tcPr>
          <w:p>
            <w:pPr>
              <w:jc w:val="center"/>
              <w:rPr>
                <w:rFonts w:ascii="宋体" w:hAnsi="Calibri" w:eastAsia="宋体" w:cs="宋体"/>
                <w:sz w:val="20"/>
              </w:rPr>
            </w:pPr>
            <w:r>
              <w:rPr>
                <w:rFonts w:hint="eastAsia" w:ascii="宋体" w:hAnsi="Calibri" w:eastAsia="宋体" w:cs="宋体"/>
                <w:sz w:val="20"/>
              </w:rPr>
              <w:t>年度</w:t>
            </w:r>
          </w:p>
          <w:p>
            <w:pPr>
              <w:jc w:val="center"/>
              <w:rPr>
                <w:rFonts w:ascii="宋体" w:hAnsi="Calibri" w:eastAsia="宋体" w:cs="宋体"/>
                <w:sz w:val="20"/>
              </w:rPr>
            </w:pPr>
            <w:r>
              <w:rPr>
                <w:rFonts w:hint="eastAsia" w:ascii="宋体" w:hAnsi="Calibri" w:eastAsia="宋体" w:cs="宋体"/>
                <w:sz w:val="20"/>
              </w:rPr>
              <w:t>目标</w:t>
            </w:r>
          </w:p>
        </w:tc>
        <w:tc>
          <w:tcPr>
            <w:tcW w:w="8582" w:type="dxa"/>
            <w:gridSpan w:val="6"/>
            <w:noWrap/>
            <w:vAlign w:val="center"/>
          </w:tcPr>
          <w:p>
            <w:pPr>
              <w:jc w:val="center"/>
              <w:rPr>
                <w:rFonts w:ascii="宋体" w:hAnsi="Calibri" w:eastAsia="宋体" w:cs="宋体"/>
                <w:sz w:val="20"/>
              </w:rPr>
            </w:pPr>
            <w:r>
              <w:rPr>
                <w:rFonts w:hint="eastAsia" w:ascii="宋体" w:hAnsi="Calibri" w:eastAsia="宋体" w:cs="宋体"/>
                <w:sz w:val="20"/>
              </w:rPr>
              <w:t>提高管理科学化、规范化水平、保障各项业务工作顺利推进。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ign w:val="center"/>
          </w:tcPr>
          <w:p>
            <w:pPr>
              <w:jc w:val="center"/>
              <w:rPr>
                <w:rFonts w:ascii="宋体" w:hAnsi="Calibri" w:eastAsia="宋体" w:cs="宋体"/>
                <w:sz w:val="20"/>
              </w:rPr>
            </w:pPr>
            <w:r>
              <w:rPr>
                <w:rFonts w:hint="eastAsia" w:ascii="宋体" w:hAnsi="Calibri" w:eastAsia="宋体" w:cs="宋体"/>
                <w:sz w:val="20"/>
              </w:rPr>
              <w:t>绩</w:t>
            </w:r>
          </w:p>
          <w:p>
            <w:pPr>
              <w:jc w:val="center"/>
              <w:rPr>
                <w:rFonts w:ascii="宋体" w:hAnsi="Calibri" w:eastAsia="宋体" w:cs="宋体"/>
                <w:sz w:val="20"/>
              </w:rPr>
            </w:pPr>
            <w:r>
              <w:rPr>
                <w:rFonts w:hint="eastAsia" w:ascii="宋体" w:hAnsi="Calibri" w:eastAsia="宋体" w:cs="宋体"/>
                <w:sz w:val="20"/>
              </w:rPr>
              <w:t>效</w:t>
            </w:r>
          </w:p>
          <w:p>
            <w:pPr>
              <w:jc w:val="center"/>
              <w:rPr>
                <w:rFonts w:ascii="宋体" w:hAnsi="Calibri" w:eastAsia="宋体" w:cs="宋体"/>
                <w:sz w:val="20"/>
              </w:rPr>
            </w:pPr>
            <w:r>
              <w:rPr>
                <w:rFonts w:hint="eastAsia" w:ascii="宋体" w:hAnsi="Calibri" w:eastAsia="宋体" w:cs="宋体"/>
                <w:sz w:val="20"/>
              </w:rPr>
              <w:t>指</w:t>
            </w:r>
          </w:p>
          <w:p>
            <w:pPr>
              <w:jc w:val="center"/>
              <w:rPr>
                <w:rFonts w:ascii="宋体" w:hAnsi="Calibri" w:eastAsia="宋体" w:cs="宋体"/>
                <w:sz w:val="20"/>
              </w:rPr>
            </w:pPr>
            <w:r>
              <w:rPr>
                <w:rFonts w:hint="eastAsia" w:ascii="宋体" w:hAnsi="Calibri" w:eastAsia="宋体" w:cs="宋体"/>
                <w:sz w:val="20"/>
              </w:rPr>
              <w:t>标</w:t>
            </w:r>
          </w:p>
        </w:tc>
        <w:tc>
          <w:tcPr>
            <w:tcW w:w="723" w:type="dxa"/>
            <w:noWrap/>
            <w:vAlign w:val="center"/>
          </w:tcPr>
          <w:p>
            <w:pPr>
              <w:jc w:val="center"/>
              <w:rPr>
                <w:rFonts w:ascii="宋体" w:hAnsi="Calibri" w:eastAsia="宋体" w:cs="宋体"/>
                <w:sz w:val="20"/>
              </w:rPr>
            </w:pPr>
            <w:r>
              <w:rPr>
                <w:rFonts w:hint="eastAsia" w:ascii="宋体" w:hAnsi="Calibri" w:eastAsia="宋体" w:cs="宋体"/>
                <w:sz w:val="20"/>
              </w:rPr>
              <w:t>一级</w:t>
            </w:r>
          </w:p>
          <w:p>
            <w:pPr>
              <w:jc w:val="center"/>
              <w:rPr>
                <w:rFonts w:ascii="宋体" w:hAnsi="Calibri" w:eastAsia="宋体" w:cs="宋体"/>
                <w:sz w:val="20"/>
              </w:rPr>
            </w:pPr>
            <w:r>
              <w:rPr>
                <w:rFonts w:hint="eastAsia" w:ascii="宋体" w:hAnsi="Calibri" w:eastAsia="宋体" w:cs="宋体"/>
                <w:sz w:val="20"/>
              </w:rPr>
              <w:t>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二级指标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三级指标</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restart"/>
            <w:noWrap/>
            <w:vAlign w:val="center"/>
          </w:tcPr>
          <w:p>
            <w:pPr>
              <w:jc w:val="center"/>
              <w:rPr>
                <w:rFonts w:ascii="宋体" w:hAnsi="Calibri" w:eastAsia="宋体" w:cs="宋体"/>
                <w:sz w:val="20"/>
              </w:rPr>
            </w:pPr>
            <w:r>
              <w:rPr>
                <w:rFonts w:hint="eastAsia" w:ascii="宋体" w:hAnsi="Calibri" w:eastAsia="宋体" w:cs="宋体"/>
                <w:sz w:val="20"/>
              </w:rPr>
              <w:t>产出指标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数量指标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指标1：项目总成本</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质量指标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指标1：经费支出合规性</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时效指标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指标1：项目完成及时性</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按人社部门核定的工资社保和相关政策及时足额支付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成本指标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指标1：项目总金额</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restart"/>
            <w:noWrap/>
            <w:vAlign w:val="center"/>
          </w:tcPr>
          <w:p>
            <w:pPr>
              <w:jc w:val="center"/>
              <w:rPr>
                <w:rFonts w:ascii="宋体" w:hAnsi="Calibri" w:eastAsia="宋体" w:cs="宋体"/>
                <w:sz w:val="20"/>
              </w:rPr>
            </w:pPr>
            <w:r>
              <w:rPr>
                <w:rFonts w:hint="eastAsia" w:ascii="宋体" w:hAnsi="Calibri" w:eastAsia="宋体" w:cs="宋体"/>
                <w:sz w:val="20"/>
              </w:rPr>
              <w:t>效益指标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经济效益指标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指标1：项目成本</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社会效益指标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指标1：保障自然资源各项业务工作的正常开展</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提高管理科学化、规范化水平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生态效益指标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指标1：增强生态文明建设意识</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生态文明建设意识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ign w:val="center"/>
          </w:tcPr>
          <w:p>
            <w:pPr>
              <w:jc w:val="center"/>
              <w:rPr>
                <w:rFonts w:ascii="宋体" w:hAnsi="Calibri" w:eastAsia="宋体" w:cs="宋体"/>
                <w:sz w:val="20"/>
              </w:rPr>
            </w:pPr>
          </w:p>
        </w:tc>
        <w:tc>
          <w:tcPr>
            <w:tcW w:w="723" w:type="dxa"/>
            <w:vMerge w:val="continue"/>
            <w:noWrap/>
            <w:vAlign w:val="center"/>
          </w:tcPr>
          <w:p>
            <w:pPr>
              <w:jc w:val="center"/>
              <w:rPr>
                <w:rFonts w:ascii="宋体" w:hAnsi="Calibri" w:eastAsia="宋体" w:cs="宋体"/>
                <w:sz w:val="20"/>
              </w:rPr>
            </w:pP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可持续影响指标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指标1：状态指标</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hAnsi="Calibri" w:eastAsia="宋体" w:cs="宋体"/>
                <w:sz w:val="20"/>
              </w:rPr>
            </w:pPr>
          </w:p>
        </w:tc>
        <w:tc>
          <w:tcPr>
            <w:tcW w:w="723" w:type="dxa"/>
            <w:noWrap/>
            <w:vAlign w:val="center"/>
          </w:tcPr>
          <w:p>
            <w:pPr>
              <w:jc w:val="center"/>
              <w:rPr>
                <w:rFonts w:ascii="宋体" w:hAnsi="Calibri" w:eastAsia="宋体" w:cs="宋体"/>
                <w:sz w:val="20"/>
              </w:rPr>
            </w:pPr>
            <w:r>
              <w:rPr>
                <w:rFonts w:hint="eastAsia" w:ascii="宋体" w:hAnsi="Calibri" w:eastAsia="宋体" w:cs="宋体"/>
                <w:sz w:val="20"/>
              </w:rPr>
              <w:t>满意度指标</w:t>
            </w:r>
          </w:p>
        </w:tc>
        <w:tc>
          <w:tcPr>
            <w:tcW w:w="759" w:type="dxa"/>
            <w:gridSpan w:val="2"/>
            <w:noWrap/>
            <w:vAlign w:val="center"/>
          </w:tcPr>
          <w:p>
            <w:pPr>
              <w:jc w:val="center"/>
              <w:rPr>
                <w:rFonts w:ascii="宋体" w:hAnsi="Calibri" w:eastAsia="宋体" w:cs="宋体"/>
                <w:sz w:val="20"/>
              </w:rPr>
            </w:pPr>
            <w:r>
              <w:rPr>
                <w:rFonts w:hint="eastAsia" w:ascii="宋体" w:hAnsi="Calibri" w:eastAsia="宋体" w:cs="宋体"/>
                <w:sz w:val="20"/>
              </w:rPr>
              <w:t>满意度指标</w:t>
            </w:r>
          </w:p>
        </w:tc>
        <w:tc>
          <w:tcPr>
            <w:tcW w:w="2872" w:type="dxa"/>
            <w:noWrap/>
            <w:vAlign w:val="center"/>
          </w:tcPr>
          <w:p>
            <w:pPr>
              <w:jc w:val="center"/>
              <w:rPr>
                <w:rFonts w:ascii="宋体" w:hAnsi="Calibri" w:eastAsia="宋体" w:cs="宋体"/>
                <w:sz w:val="20"/>
              </w:rPr>
            </w:pPr>
            <w:r>
              <w:rPr>
                <w:rFonts w:hint="eastAsia" w:ascii="宋体" w:hAnsi="Calibri" w:eastAsia="宋体" w:cs="宋体"/>
                <w:sz w:val="20"/>
              </w:rPr>
              <w:t>指标1：满意度</w:t>
            </w:r>
          </w:p>
        </w:tc>
        <w:tc>
          <w:tcPr>
            <w:tcW w:w="4228" w:type="dxa"/>
            <w:gridSpan w:val="2"/>
            <w:noWrap/>
            <w:vAlign w:val="center"/>
          </w:tcPr>
          <w:p>
            <w:pPr>
              <w:jc w:val="center"/>
              <w:rPr>
                <w:rFonts w:ascii="宋体" w:hAnsi="Calibri" w:eastAsia="宋体" w:cs="宋体"/>
                <w:sz w:val="20"/>
              </w:rPr>
            </w:pPr>
            <w:r>
              <w:rPr>
                <w:rFonts w:hint="eastAsia" w:ascii="宋体" w:hAnsi="Calibri" w:eastAsia="宋体" w:cs="宋体"/>
                <w:sz w:val="20"/>
              </w:rPr>
              <w:t>100</w:t>
            </w:r>
          </w:p>
        </w:tc>
      </w:tr>
    </w:tbl>
    <w:p>
      <w:pPr>
        <w:adjustRightInd w:val="0"/>
        <w:snapToGrid w:val="0"/>
        <w:spacing w:line="580" w:lineRule="exact"/>
        <w:rPr>
          <w:rFonts w:ascii="TimesNewRoman" w:hAnsi="TimesNewRoman" w:eastAsia="仿宋_GB2312" w:cs="TimesNewRoman"/>
          <w:bCs/>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淮北市自然资源和规划局烈山分局2023年机关运行经费财政拨款预算51.84万元，比2022年预算增加0.42万元，增长0.81%，原因主要是人员变动</w:t>
      </w:r>
      <w:r>
        <w:rPr>
          <w:rFonts w:hint="eastAsia" w:ascii="仿宋_GB2312" w:hAnsi="仿宋" w:eastAsia="仿宋_GB2312"/>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淮北市自然资源和规划局烈山分局2023年政府采购预算0万元。其中：政府采购货物预算0万元，政府采购工程预算0万元，政府采购服务预算0万元。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rPr>
        <w:t>截至2022年12月31日，淮北市自然资源和规划局烈山分局共有车辆0辆。单价50万元以上的通用设备0台（套），单价100万元以上的专用设备0台（套）。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2023年部门（单位）预算安排购置公务用车0辆，购置费0万元，安排购置单价50万元以上的通用设备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万元；安排购置单价100万元以上专用设备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2023年，淮北市自然资源和规划局烈山分局3个项目实行了绩效目标管理，涉及一般公共预算当年财政拨款0万元、政府性基金预算当年财政拨款142万元、财政专户管理资金当年安排0万元。</w:t>
      </w:r>
    </w:p>
    <w:p/>
    <w:p>
      <w:pPr>
        <w:pStyle w:val="11"/>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11"/>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11"/>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sz w:val="32"/>
          <w:szCs w:val="32"/>
        </w:rPr>
        <w:t>二、一般公共预算收入</w:t>
      </w:r>
      <w:r>
        <w:rPr>
          <w:rFonts w:hint="eastAsia" w:ascii="TimesNewRoman" w:hAnsi="TimesNewRoman" w:eastAsia="仿宋_GB2312" w:cs="TimesNewRoman"/>
          <w:bCs/>
          <w:sz w:val="32"/>
          <w:szCs w:val="32"/>
        </w:rPr>
        <w:t>：指市财政当年拨付的资金，主要包括财政拨款收入、纳入国库管理的非税收入。</w:t>
      </w:r>
    </w:p>
    <w:p>
      <w:pPr>
        <w:pStyle w:val="11"/>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sz w:val="32"/>
          <w:szCs w:val="32"/>
        </w:rPr>
        <w:t>三、纳入专户管理非税收入：</w:t>
      </w:r>
      <w:r>
        <w:rPr>
          <w:rFonts w:hint="eastAsia" w:ascii="TimesNewRoman" w:hAnsi="TimesNewRoman" w:eastAsia="仿宋_GB2312" w:cs="TimesNewRoman"/>
          <w:bCs/>
          <w:sz w:val="32"/>
          <w:szCs w:val="32"/>
        </w:rPr>
        <w:t>指按照非税收入管理相关规定，纳入专户管理的收费等。</w:t>
      </w:r>
    </w:p>
    <w:p>
      <w:pPr>
        <w:pStyle w:val="11"/>
        <w:adjustRightInd w:val="0"/>
        <w:snapToGrid w:val="0"/>
        <w:spacing w:line="560" w:lineRule="exact"/>
        <w:ind w:firstLine="630" w:firstLineChars="196"/>
        <w:rPr>
          <w:rFonts w:ascii="TimesNewRoman" w:hAnsi="TimesNewRoman" w:eastAsia="仿宋_GB2312" w:cs="TimesNewRoman"/>
          <w:b/>
          <w:sz w:val="32"/>
          <w:szCs w:val="32"/>
        </w:rPr>
      </w:pPr>
      <w:r>
        <w:rPr>
          <w:rFonts w:hint="eastAsia" w:ascii="TimesNewRoman" w:hAnsi="TimesNewRoman" w:eastAsia="仿宋_GB2312" w:cs="TimesNewRoman"/>
          <w:b/>
          <w:sz w:val="32"/>
          <w:szCs w:val="32"/>
        </w:rPr>
        <w:t>四、基本支出：</w:t>
      </w:r>
      <w:r>
        <w:rPr>
          <w:rFonts w:hint="eastAsia" w:ascii="TimesNewRoman" w:hAnsi="TimesNewRoman" w:eastAsia="仿宋_GB2312" w:cs="TimesNewRoman"/>
          <w:bCs/>
          <w:sz w:val="32"/>
          <w:szCs w:val="32"/>
        </w:rPr>
        <w:t>指为保障机构正常运转、完成日常工作任务而发生的人员支出和公用支出。</w:t>
      </w:r>
    </w:p>
    <w:p>
      <w:pPr>
        <w:pStyle w:val="11"/>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sz w:val="32"/>
          <w:szCs w:val="32"/>
        </w:rPr>
        <w:t>五、项目支出：</w:t>
      </w:r>
      <w:r>
        <w:rPr>
          <w:rFonts w:hint="eastAsia" w:ascii="TimesNewRoman" w:hAnsi="TimesNewRoman" w:eastAsia="仿宋_GB2312" w:cs="TimesNewRoman"/>
          <w:bCs/>
          <w:sz w:val="32"/>
          <w:szCs w:val="32"/>
        </w:rPr>
        <w:t>指在基本支出之外为完成特定行政任务和事业发展目标所发生的支出。</w:t>
      </w:r>
    </w:p>
    <w:p>
      <w:pPr>
        <w:pStyle w:val="11"/>
        <w:adjustRightInd w:val="0"/>
        <w:snapToGrid w:val="0"/>
        <w:spacing w:line="560" w:lineRule="exact"/>
        <w:ind w:firstLine="630" w:firstLineChars="196"/>
        <w:rPr>
          <w:rFonts w:ascii="TimesNewRoman" w:hAnsi="TimesNewRoman" w:eastAsia="仿宋_GB2312" w:cs="TimesNewRoman"/>
          <w:b/>
          <w:sz w:val="32"/>
          <w:szCs w:val="32"/>
        </w:rPr>
      </w:pPr>
      <w:r>
        <w:rPr>
          <w:rFonts w:hint="eastAsia" w:ascii="TimesNewRoman" w:hAnsi="TimesNewRoman" w:eastAsia="仿宋_GB2312" w:cs="TimesNewRoman"/>
          <w:b/>
          <w:sz w:val="32"/>
          <w:szCs w:val="32"/>
        </w:rPr>
        <w:t>六、“三公”经费：</w:t>
      </w:r>
      <w:r>
        <w:rPr>
          <w:rFonts w:hint="eastAsia" w:ascii="TimesNewRoman" w:hAnsi="TimesNewRoman" w:eastAsia="仿宋_GB2312" w:cs="TimesNewRoman"/>
          <w:bCs/>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11"/>
        <w:adjustRightInd w:val="0"/>
        <w:snapToGrid w:val="0"/>
        <w:spacing w:line="560" w:lineRule="exact"/>
        <w:ind w:firstLine="630" w:firstLineChars="196"/>
        <w:rPr>
          <w:rFonts w:ascii="TimesNewRoman" w:hAnsi="TimesNewRoman" w:eastAsia="仿宋_GB2312" w:cs="TimesNewRoman"/>
          <w:bCs/>
          <w:sz w:val="32"/>
          <w:szCs w:val="32"/>
        </w:rPr>
      </w:pPr>
      <w:r>
        <w:rPr>
          <w:rFonts w:hint="eastAsia" w:ascii="TimesNewRoman" w:hAnsi="TimesNewRoman" w:eastAsia="仿宋_GB2312" w:cs="TimesNewRoman"/>
          <w:b/>
          <w:sz w:val="32"/>
          <w:szCs w:val="32"/>
        </w:rPr>
        <w:t>七、机关运行经费：</w:t>
      </w:r>
      <w:r>
        <w:rPr>
          <w:rFonts w:hint="eastAsia" w:ascii="TimesNewRoman" w:hAnsi="TimesNewRoman" w:eastAsia="仿宋_GB2312" w:cs="TimesNewRoman"/>
          <w:bCs/>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TimesNewRoman">
    <w:altName w:val="Segoe Print"/>
    <w:panose1 w:val="00000000000000000000"/>
    <w:charset w:val="00"/>
    <w:family w:val="auto"/>
    <w:pitch w:val="default"/>
    <w:sig w:usb0="00000000" w:usb1="00000000" w:usb2="00000029" w:usb3="00000000" w:csb0="600001FF" w:csb1="FFFF0000"/>
  </w:font>
  <w:font w:name="华文中宋">
    <w:altName w:val="hakuyoxingshu7000"/>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0YjlkODY3MzRiZmJkYmNlNGMxOTdmYzIyZDBmNzYifQ=="/>
  </w:docVars>
  <w:rsids>
    <w:rsidRoot w:val="00E907C4"/>
    <w:rsid w:val="00002838"/>
    <w:rsid w:val="00062372"/>
    <w:rsid w:val="001311DD"/>
    <w:rsid w:val="001E2623"/>
    <w:rsid w:val="002551B0"/>
    <w:rsid w:val="003B7EF4"/>
    <w:rsid w:val="0044536F"/>
    <w:rsid w:val="00447750"/>
    <w:rsid w:val="0047276F"/>
    <w:rsid w:val="00483997"/>
    <w:rsid w:val="00531CA8"/>
    <w:rsid w:val="00537983"/>
    <w:rsid w:val="0057562B"/>
    <w:rsid w:val="00582CF8"/>
    <w:rsid w:val="00587B68"/>
    <w:rsid w:val="005F5C8D"/>
    <w:rsid w:val="0062354D"/>
    <w:rsid w:val="006546AF"/>
    <w:rsid w:val="00696714"/>
    <w:rsid w:val="007161D9"/>
    <w:rsid w:val="008F6D1A"/>
    <w:rsid w:val="00926789"/>
    <w:rsid w:val="009500CB"/>
    <w:rsid w:val="009A3CA3"/>
    <w:rsid w:val="009F16E8"/>
    <w:rsid w:val="009F3682"/>
    <w:rsid w:val="00AE3242"/>
    <w:rsid w:val="00B34AD1"/>
    <w:rsid w:val="00B877D7"/>
    <w:rsid w:val="00C21C1A"/>
    <w:rsid w:val="00D911C1"/>
    <w:rsid w:val="00D97E27"/>
    <w:rsid w:val="00DD3BC5"/>
    <w:rsid w:val="00DF0A7E"/>
    <w:rsid w:val="00E907C4"/>
    <w:rsid w:val="00EB1854"/>
    <w:rsid w:val="00EB4B27"/>
    <w:rsid w:val="00EC7755"/>
    <w:rsid w:val="00F02BB8"/>
    <w:rsid w:val="00F54A4D"/>
    <w:rsid w:val="00F77AA2"/>
    <w:rsid w:val="015265E1"/>
    <w:rsid w:val="042A3D12"/>
    <w:rsid w:val="04931957"/>
    <w:rsid w:val="05BE0E16"/>
    <w:rsid w:val="069340B4"/>
    <w:rsid w:val="06A8627F"/>
    <w:rsid w:val="07992F96"/>
    <w:rsid w:val="0882014D"/>
    <w:rsid w:val="0ACF7FCB"/>
    <w:rsid w:val="1003083E"/>
    <w:rsid w:val="123D40F9"/>
    <w:rsid w:val="15454715"/>
    <w:rsid w:val="16732728"/>
    <w:rsid w:val="18A03DFE"/>
    <w:rsid w:val="1D582D62"/>
    <w:rsid w:val="1EAF321F"/>
    <w:rsid w:val="1FF8696C"/>
    <w:rsid w:val="20F87A61"/>
    <w:rsid w:val="2166094E"/>
    <w:rsid w:val="240563CF"/>
    <w:rsid w:val="24616F15"/>
    <w:rsid w:val="24C9642B"/>
    <w:rsid w:val="257C3973"/>
    <w:rsid w:val="27A52258"/>
    <w:rsid w:val="28137CF7"/>
    <w:rsid w:val="28416204"/>
    <w:rsid w:val="2BBD0F7D"/>
    <w:rsid w:val="2BE44F67"/>
    <w:rsid w:val="2C110357"/>
    <w:rsid w:val="2D143C64"/>
    <w:rsid w:val="30F67CB9"/>
    <w:rsid w:val="32076459"/>
    <w:rsid w:val="33787569"/>
    <w:rsid w:val="340C795B"/>
    <w:rsid w:val="35295AF6"/>
    <w:rsid w:val="35B412C9"/>
    <w:rsid w:val="37013421"/>
    <w:rsid w:val="3CE44691"/>
    <w:rsid w:val="3E25594C"/>
    <w:rsid w:val="3F520FDA"/>
    <w:rsid w:val="41F770CD"/>
    <w:rsid w:val="42101E55"/>
    <w:rsid w:val="44983706"/>
    <w:rsid w:val="449F0431"/>
    <w:rsid w:val="44F81B0D"/>
    <w:rsid w:val="45FA3839"/>
    <w:rsid w:val="46444504"/>
    <w:rsid w:val="47F36B02"/>
    <w:rsid w:val="48674CD8"/>
    <w:rsid w:val="48D32CD3"/>
    <w:rsid w:val="49640EB0"/>
    <w:rsid w:val="4A164412"/>
    <w:rsid w:val="4A7333AD"/>
    <w:rsid w:val="4A8B2DA3"/>
    <w:rsid w:val="4C595620"/>
    <w:rsid w:val="500A2B06"/>
    <w:rsid w:val="504A2BBA"/>
    <w:rsid w:val="50B8581B"/>
    <w:rsid w:val="52C92DAD"/>
    <w:rsid w:val="54E413C4"/>
    <w:rsid w:val="594A47CD"/>
    <w:rsid w:val="597620CC"/>
    <w:rsid w:val="59EF2A1E"/>
    <w:rsid w:val="5A814596"/>
    <w:rsid w:val="5AFE185E"/>
    <w:rsid w:val="5BB35FB5"/>
    <w:rsid w:val="5CCF447F"/>
    <w:rsid w:val="5EB56618"/>
    <w:rsid w:val="624E3DCF"/>
    <w:rsid w:val="63C40D6E"/>
    <w:rsid w:val="65035441"/>
    <w:rsid w:val="680A2A02"/>
    <w:rsid w:val="68CB1429"/>
    <w:rsid w:val="6B2A1DCC"/>
    <w:rsid w:val="6CE713B1"/>
    <w:rsid w:val="6D4D16A2"/>
    <w:rsid w:val="6F7F1F60"/>
    <w:rsid w:val="72CA2753"/>
    <w:rsid w:val="7338768A"/>
    <w:rsid w:val="73EF5A74"/>
    <w:rsid w:val="75E76F62"/>
    <w:rsid w:val="768D6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6">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firstLine="210" w:firstLineChars="0"/>
    </w:pPr>
    <w:rPr>
      <w:rFonts w:ascii="Times New Roman"/>
      <w:sz w:val="21"/>
    </w:rPr>
  </w:style>
  <w:style w:type="paragraph" w:styleId="3">
    <w:name w:val="Body Text Indent"/>
    <w:basedOn w:val="1"/>
    <w:next w:val="4"/>
    <w:qFormat/>
    <w:uiPriority w:val="99"/>
    <w:pPr>
      <w:spacing w:line="360" w:lineRule="auto"/>
      <w:ind w:firstLine="480" w:firstLineChars="200"/>
    </w:pPr>
    <w:rPr>
      <w:rFonts w:ascii="Arial" w:hAnsi="Times New Roman" w:eastAsia="宋体" w:cs="Times New Roman"/>
      <w:sz w:val="24"/>
    </w:rPr>
  </w:style>
  <w:style w:type="paragraph" w:styleId="4">
    <w:name w:val="envelope return"/>
    <w:basedOn w:val="1"/>
    <w:qFormat/>
    <w:uiPriority w:val="0"/>
    <w:pPr>
      <w:snapToGrid w:val="0"/>
    </w:pPr>
    <w:rPr>
      <w:rFonts w:ascii="Arial" w:hAnsi="Arial" w:eastAsia="宋体" w:cs="Times New Roman"/>
    </w:rPr>
  </w:style>
  <w:style w:type="paragraph" w:styleId="7">
    <w:name w:val="Body Text"/>
    <w:basedOn w:val="1"/>
    <w:next w:val="8"/>
    <w:qFormat/>
    <w:uiPriority w:val="0"/>
    <w:pPr>
      <w:spacing w:after="120"/>
    </w:pPr>
  </w:style>
  <w:style w:type="paragraph" w:styleId="8">
    <w:name w:val="Date"/>
    <w:basedOn w:val="1"/>
    <w:next w:val="1"/>
    <w:qFormat/>
    <w:uiPriority w:val="0"/>
    <w:pPr>
      <w:ind w:left="2500" w:leftChars="2500"/>
    </w:p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rPr>
  </w:style>
  <w:style w:type="character" w:customStyle="1" w:styleId="15">
    <w:name w:val="页眉 Char"/>
    <w:basedOn w:val="13"/>
    <w:link w:val="10"/>
    <w:semiHidden/>
    <w:qFormat/>
    <w:uiPriority w:val="99"/>
    <w:rPr>
      <w:kern w:val="2"/>
      <w:sz w:val="18"/>
      <w:szCs w:val="18"/>
    </w:rPr>
  </w:style>
  <w:style w:type="character" w:customStyle="1" w:styleId="16">
    <w:name w:val="页脚 Char"/>
    <w:basedOn w:val="13"/>
    <w:link w:val="9"/>
    <w:semiHidden/>
    <w:qFormat/>
    <w:uiPriority w:val="99"/>
    <w:rPr>
      <w:kern w:val="2"/>
      <w:sz w:val="18"/>
      <w:szCs w:val="18"/>
    </w:rPr>
  </w:style>
  <w:style w:type="paragraph" w:customStyle="1" w:styleId="17">
    <w:name w:val="Default"/>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1399</Words>
  <Characters>7978</Characters>
  <Lines>66</Lines>
  <Paragraphs>18</Paragraphs>
  <TotalTime>50</TotalTime>
  <ScaleCrop>false</ScaleCrop>
  <LinksUpToDate>false</LinksUpToDate>
  <CharactersWithSpaces>9359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2023-02-17T08:23:00Z</dcterms:created>
  <dc:creator>lenovo</dc:creator>
  <cp:lastModifiedBy>Administrator</cp:lastModifiedBy>
  <dcterms:modified xsi:type="dcterms:W3CDTF">2024-09-23T07:51:43Z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F0E626D9FC404A9880686546E2FCEA6A</vt:lpwstr>
  </property>
</Properties>
</file>