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淮北市自然资源和规划局杜集分局</w:t>
      </w:r>
      <w:r>
        <w:rPr>
          <w:rFonts w:hint="eastAsia" w:ascii="TimesNewRoman" w:hAnsi="TimesNewRoman" w:eastAsia="华文中宋" w:cs="TimesNewRoman"/>
          <w:b/>
          <w:sz w:val="44"/>
          <w:szCs w:val="44"/>
          <w:lang w:val="en-US" w:eastAsia="zh-CN"/>
        </w:rPr>
        <w:t>2023</w:t>
      </w:r>
      <w:r>
        <w:rPr>
          <w:rFonts w:hint="eastAsia" w:ascii="TimesNewRoman" w:hAnsi="TimesNewRoman" w:eastAsia="华文中宋" w:cs="TimesNewRoman"/>
          <w:b/>
          <w:sz w:val="44"/>
          <w:szCs w:val="44"/>
        </w:rPr>
        <w:t>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2023年部门预算纳入绩效考评项目表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bCs/>
          <w:sz w:val="32"/>
          <w:szCs w:val="32"/>
        </w:rPr>
        <w:t>2023年部门预算专项资金管理清单（专栏公开）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3"/>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各分局均为市自然资源和规划局正科级派出机构，负责辖区范围内的自然资源规划、林业等管理工作，承担市自然资源和规划局交办的各项工作任务。其中，林业工作接受市林业局的指导。</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淮北市自然资源和规划局杜集分局</w:t>
      </w:r>
      <w:r>
        <w:rPr>
          <w:rFonts w:hint="eastAsia" w:ascii="TimesNewRoman" w:hAnsi="TimesNewRoman" w:eastAsia="仿宋_GB2312" w:cs="TimesNewRoman"/>
          <w:sz w:val="32"/>
          <w:szCs w:val="32"/>
        </w:rPr>
        <w:t>2023年度部门预算包括</w:t>
      </w:r>
      <w:r>
        <w:rPr>
          <w:rFonts w:hint="eastAsia" w:ascii="仿宋_GB2312" w:hAnsi="仿宋" w:eastAsia="仿宋_GB2312" w:cs="仿宋"/>
          <w:bCs/>
          <w:kern w:val="0"/>
          <w:sz w:val="32"/>
          <w:szCs w:val="32"/>
        </w:rPr>
        <w:t>分局本级预算和分局各国土所预算</w:t>
      </w:r>
      <w:r>
        <w:rPr>
          <w:rFonts w:hint="eastAsia" w:ascii="TimesNewRoman" w:hAnsi="TimesNewRoman" w:eastAsia="仿宋_GB2312" w:cs="TimesNewRoman"/>
          <w:sz w:val="32"/>
          <w:szCs w:val="32"/>
        </w:rPr>
        <w:t>，纳入部门预算编制范围的预算单位共</w:t>
      </w:r>
      <w:r>
        <w:rPr>
          <w:rFonts w:hint="eastAsia" w:ascii="TimesNewRoman" w:hAnsi="TimesNewRoman" w:eastAsia="仿宋_GB2312" w:cs="TimesNewRoman"/>
          <w:sz w:val="32"/>
          <w:szCs w:val="32"/>
          <w:lang w:val="en-US" w:eastAsia="zh-CN"/>
        </w:rPr>
        <w:t>1</w:t>
      </w:r>
      <w:r>
        <w:rPr>
          <w:rFonts w:hint="eastAsia" w:ascii="TimesNewRoman" w:hAnsi="TimesNewRoman" w:eastAsia="仿宋_GB2312" w:cs="TimesNewRoman"/>
          <w:sz w:val="32"/>
          <w:szCs w:val="32"/>
        </w:rPr>
        <w:t>个，具体情况见下表。</w:t>
      </w:r>
    </w:p>
    <w:tbl>
      <w:tblPr>
        <w:tblStyle w:val="4"/>
        <w:tblW w:w="8540" w:type="dxa"/>
        <w:jc w:val="center"/>
        <w:tblLayout w:type="fixed"/>
        <w:tblCellMar>
          <w:top w:w="0" w:type="dxa"/>
          <w:left w:w="0" w:type="dxa"/>
          <w:bottom w:w="0" w:type="dxa"/>
          <w:right w:w="0" w:type="dxa"/>
        </w:tblCellMar>
      </w:tblPr>
      <w:tblGrid>
        <w:gridCol w:w="854"/>
        <w:gridCol w:w="4276"/>
        <w:gridCol w:w="341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序号</w:t>
            </w:r>
          </w:p>
        </w:tc>
        <w:tc>
          <w:tcPr>
            <w:tcW w:w="4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单位名称</w:t>
            </w:r>
          </w:p>
        </w:tc>
        <w:tc>
          <w:tcPr>
            <w:tcW w:w="3410" w:type="dxa"/>
            <w:tcBorders>
              <w:top w:val="single" w:color="auto" w:sz="8" w:space="0"/>
              <w:left w:val="nil"/>
              <w:bottom w:val="single" w:color="auto" w:sz="8" w:space="0"/>
              <w:right w:val="single" w:color="auto" w:sz="8" w:space="0"/>
            </w:tcBorders>
            <w:shd w:val="clear" w:color="auto" w:fill="FFFFFF"/>
            <w:vAlign w:val="top"/>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1</w:t>
            </w:r>
          </w:p>
        </w:tc>
        <w:tc>
          <w:tcPr>
            <w:tcW w:w="4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淮北市自然资源和规划局杜集分局</w:t>
            </w:r>
          </w:p>
        </w:tc>
        <w:tc>
          <w:tcPr>
            <w:tcW w:w="3410" w:type="dxa"/>
            <w:tcBorders>
              <w:top w:val="nil"/>
              <w:left w:val="nil"/>
              <w:bottom w:val="single" w:color="auto" w:sz="8" w:space="0"/>
              <w:right w:val="single" w:color="auto" w:sz="8" w:space="0"/>
            </w:tcBorders>
            <w:shd w:val="clear" w:color="auto" w:fill="FFFFFF"/>
            <w:vAlign w:val="top"/>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行政单位</w:t>
            </w:r>
          </w:p>
        </w:tc>
      </w:tr>
    </w:tbl>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一）加强党建统领。以习近平新时代中国特色社会主义思想为指导，深入学习宣传贯彻党的二十大精神。压紧压实党建主体责任，积极推动党建工作和业务工作深度融合，坚持党建工作和业务工作同谋划、同部署、同考核。积极落实“三会一课”，不断增强党内政治生活的政治性、时代性、原则性、战斗性。抓好意识形态、保密、法制建设等工作。</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二）守牢耕地红线。始终胸怀耕地保护这一“国之大者”，加强耕地用途管制，规范占补平衡，强化土地流转用途监管，确保“农地姓农，耕地姓粮”。深挖后备耕地资源潜力，结合实际统筹后备耕地资源，据实开展后备资源调查评价。严格耕地保护执法，从严从实守牢“饭碗田”，守住粮食生产的“命根子”。</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三）推进规划编制。坚持保护优先、绿色发展，落实节约用地制度，统筹好当前和长远、发展和安全、开发与保护的关系，扎实细致做好“三区三线”划定工作，推动形成科学、适度、有序的国土空间格局，为全区高质量发展提供坚实支撑。持续推进村庄规划编制工作，结合乡村人居环境整治和森林村庄创建，稳步推进乡村振兴，促进农村一二三产业融合发展，打通规划落地“最后一公里”。</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四）强化要素支撑。落实“增存挂钩”，持续推进批而未供和闲置土地处置工作，积极探索耕地保护工作创新思路，进一步节约资源，提高效能。加大批而未供土地清理工作力度，提高土地节约集约利用水平。推进成片开发方案编制工作，加大获批成片开发方案落实力度，确保批的下、用的了、管的好。</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五）践行绿色发展。坚决守住自然生态安全边界，以土地用途管制为抓手，加快推进绿色低碳发展，全面提高区域内土地资源利用率。推进采煤沉陷区综合治理，探索利用市场化方式推进废弃矿山生态修复。进一步提升林长履职效能，对照年度目标，制定完善任务清单、责任清单，补齐工作短板、加强协同配合、抓好任务落地落实，以“林长制”促进“林长治”。</w:t>
      </w:r>
    </w:p>
    <w:p>
      <w:pPr>
        <w:pStyle w:val="3"/>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同时，加强机关效能建设。强化组室间业务交流学习，提高整体工作效率；积极开展基层政务公开，细化政务公开的信息分类，推进信息公开制度“标准化、规范化”建设；学习借鉴其他地区先进经验，积极整合利用、规划、地籍、林业等相关数据资源。</w:t>
      </w:r>
    </w:p>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lang w:eastAsia="zh-CN"/>
        </w:rPr>
        <w:t>淮北市自然资源和规划局杜集分局</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仿宋_GB2312" w:hAnsi="仿宋" w:eastAsia="仿宋_GB2312"/>
          <w:sz w:val="32"/>
          <w:szCs w:val="32"/>
        </w:rPr>
        <w:t>城乡社区支出</w:t>
      </w:r>
      <w:r>
        <w:rPr>
          <w:rFonts w:hint="eastAsia" w:ascii="仿宋_GB2312" w:hAnsi="仿宋" w:eastAsia="仿宋_GB2312"/>
          <w:sz w:val="32"/>
          <w:szCs w:val="32"/>
          <w:lang w:eastAsia="zh-CN"/>
        </w:rPr>
        <w:t>、</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573.61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85.54</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171.14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42.52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增加基础绩效奖</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14.46</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1.38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172.51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增加基础绩效奖及项目资金调整</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573.61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85.54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14.46</w:t>
      </w:r>
      <w:r>
        <w:rPr>
          <w:rFonts w:hint="eastAsia" w:ascii="TimesNewRoman" w:hAnsi="TimesNewRoman" w:eastAsia="仿宋_GB2312" w:cs="TimesNewRoman"/>
          <w:kern w:val="0"/>
          <w:sz w:val="32"/>
          <w:szCs w:val="32"/>
        </w:rPr>
        <w:t>%，主要用于分局本级和分各国土所项目支出。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573.61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670.58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100.95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15.05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27.37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4.08</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14.46</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382.46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57.03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62.83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9.37</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573.61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171.14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42.52</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增加基础绩效奖</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100.95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17.60</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27.37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4.77</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382.46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66.68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62.83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10.95</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24.91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19.32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345.07</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增加基础绩效奖，退休人员增加1人</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49.73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39.54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社保缴费基数调整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24.86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7.05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39.54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社保缴费基数调整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6.39</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行政人员增加工伤保险</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5.卫生健康支出（类）行政事业单位医疗（款）行政单位医疗（项）202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9.02</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1.67</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年预算8.</w:t>
      </w:r>
      <w:r>
        <w:rPr>
          <w:rFonts w:hint="eastAsia" w:ascii="TimesNewRoman" w:hAnsi="TimesNewRoman" w:eastAsia="仿宋_GB2312" w:cs="TimesNewRoman"/>
          <w:kern w:val="0"/>
          <w:sz w:val="32"/>
          <w:szCs w:val="32"/>
          <w:lang w:val="en-US" w:eastAsia="zh-CN"/>
        </w:rPr>
        <w:t>35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7.自然资源海洋气象等支出（类）自然资源事务（款）行政运行（项）202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年预算7</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07</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增长原因主要是</w:t>
      </w:r>
      <w:r>
        <w:rPr>
          <w:rFonts w:hint="eastAsia" w:ascii="TimesNewRoman" w:hAnsi="TimesNewRoman" w:eastAsia="仿宋_GB2312" w:cs="TimesNewRoman"/>
          <w:kern w:val="0"/>
          <w:sz w:val="32"/>
          <w:szCs w:val="32"/>
          <w:highlight w:val="none"/>
          <w:lang w:val="en-US" w:eastAsia="zh-CN"/>
        </w:rPr>
        <w:t>增加基础绩效奖，取消提租补贴发放</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8.自然资源海洋气象等支出（类）自然资源事务（款）事业运行（项）202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307.39</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106.08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52.69</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增加基数绩效奖</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44.35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增加14.85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50.33</w:t>
      </w:r>
      <w:r>
        <w:rPr>
          <w:rFonts w:hint="eastAsia" w:ascii="TimesNewRoman" w:hAnsi="TimesNewRoman" w:eastAsia="仿宋_GB2312" w:cs="TimesNewRoman"/>
          <w:kern w:val="0"/>
          <w:sz w:val="32"/>
          <w:szCs w:val="32"/>
        </w:rPr>
        <w:t>%，增加原因主要是</w:t>
      </w:r>
      <w:r>
        <w:rPr>
          <w:rFonts w:hint="eastAsia" w:ascii="TimesNewRoman" w:hAnsi="TimesNewRoman" w:eastAsia="仿宋_GB2312" w:cs="TimesNewRoman"/>
          <w:kern w:val="0"/>
          <w:sz w:val="32"/>
          <w:szCs w:val="32"/>
          <w:lang w:val="en-US" w:eastAsia="zh-CN"/>
        </w:rPr>
        <w:t>公积金缴费基数调整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8.48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6.19</w:t>
      </w:r>
      <w:r>
        <w:rPr>
          <w:rFonts w:hint="eastAsia" w:ascii="TimesNewRoman" w:hAnsi="TimesNewRoman" w:eastAsia="仿宋_GB2312" w:cs="TimesNewRoman"/>
          <w:kern w:val="0"/>
          <w:sz w:val="32"/>
          <w:szCs w:val="32"/>
        </w:rPr>
        <w:t>万元，增加</w:t>
      </w:r>
      <w:r>
        <w:rPr>
          <w:rFonts w:hint="eastAsia" w:ascii="TimesNewRoman" w:hAnsi="TimesNewRoman" w:eastAsia="仿宋_GB2312" w:cs="TimesNewRoman"/>
          <w:kern w:val="0"/>
          <w:sz w:val="32"/>
          <w:szCs w:val="32"/>
          <w:lang w:val="en-US" w:eastAsia="zh-CN"/>
        </w:rPr>
        <w:t>50.33</w:t>
      </w:r>
      <w:r>
        <w:rPr>
          <w:rFonts w:hint="eastAsia" w:ascii="TimesNewRoman" w:hAnsi="TimesNewRoman" w:eastAsia="仿宋_GB2312" w:cs="TimesNewRoman"/>
          <w:kern w:val="0"/>
          <w:sz w:val="32"/>
          <w:szCs w:val="32"/>
        </w:rPr>
        <w:t>%，增加原因主要是</w:t>
      </w:r>
      <w:r>
        <w:rPr>
          <w:rFonts w:hint="eastAsia" w:ascii="TimesNewRoman" w:hAnsi="TimesNewRoman" w:eastAsia="仿宋_GB2312" w:cs="TimesNewRoman"/>
          <w:kern w:val="0"/>
          <w:sz w:val="32"/>
          <w:szCs w:val="32"/>
          <w:lang w:val="en-US" w:eastAsia="zh-CN"/>
        </w:rPr>
        <w:t>公积金缴费基数调整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573.61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529.53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44.08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529.53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仿宋_GB2312" w:hAnsi="仿宋" w:eastAsia="仿宋_GB2312"/>
          <w:sz w:val="32"/>
          <w:szCs w:val="32"/>
        </w:rPr>
        <w:t>基本工资、津贴补贴、奖金、绩效工资、机关事业单位基本养老保险费、职业年金缴费、职工基本医疗保险缴费、公务员医疗补助缴费、其他社会保障缴费、住房公积金、</w:t>
      </w:r>
      <w:r>
        <w:rPr>
          <w:rFonts w:hint="eastAsia" w:ascii="仿宋_GB2312" w:hAnsi="仿宋" w:eastAsia="仿宋_GB2312"/>
          <w:sz w:val="32"/>
          <w:szCs w:val="32"/>
          <w:lang w:val="en-US" w:eastAsia="zh-CN"/>
        </w:rPr>
        <w:t>办公</w:t>
      </w:r>
      <w:r>
        <w:rPr>
          <w:rFonts w:hint="eastAsia" w:ascii="仿宋_GB2312" w:hAnsi="仿宋" w:eastAsia="仿宋_GB2312"/>
          <w:sz w:val="32"/>
          <w:szCs w:val="32"/>
        </w:rPr>
        <w:t>费、工会经费、福利费</w:t>
      </w:r>
      <w:r>
        <w:rPr>
          <w:rFonts w:hint="eastAsia" w:ascii="仿宋_GB2312" w:hAnsi="仿宋" w:eastAsia="仿宋_GB2312"/>
          <w:sz w:val="32"/>
          <w:szCs w:val="32"/>
          <w:lang w:eastAsia="zh-CN"/>
        </w:rPr>
        <w:t>、</w:t>
      </w:r>
      <w:r>
        <w:rPr>
          <w:rFonts w:hint="eastAsia" w:ascii="仿宋_GB2312" w:hAnsi="仿宋" w:eastAsia="仿宋_GB2312"/>
          <w:sz w:val="32"/>
          <w:szCs w:val="32"/>
        </w:rPr>
        <w:t>其他商品和服务支出、</w:t>
      </w:r>
      <w:r>
        <w:rPr>
          <w:rFonts w:hint="eastAsia" w:ascii="仿宋_GB2312" w:hAnsi="仿宋" w:eastAsia="仿宋_GB2312"/>
          <w:sz w:val="32"/>
          <w:szCs w:val="32"/>
          <w:lang w:val="en-US" w:eastAsia="zh-CN"/>
        </w:rPr>
        <w:t>退休费、</w:t>
      </w:r>
      <w:r>
        <w:rPr>
          <w:rFonts w:hint="eastAsia" w:ascii="仿宋_GB2312" w:hAnsi="仿宋" w:eastAsia="仿宋_GB2312"/>
          <w:sz w:val="32"/>
          <w:szCs w:val="32"/>
        </w:rPr>
        <w:t>生活补助、医疗费补助、对其他个人和家庭的补助支出</w:t>
      </w:r>
      <w:r>
        <w:rPr>
          <w:rFonts w:hint="eastAsia" w:ascii="TimesNewRoman" w:hAnsi="TimesNewRoman" w:eastAsia="仿宋_GB2312" w:cs="TimesNewRoman"/>
          <w:kern w:val="0"/>
          <w:sz w:val="32"/>
          <w:szCs w:val="32"/>
        </w:rPr>
        <w:t>。</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44.08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pPr>
        <w:pStyle w:val="3"/>
        <w:adjustRightInd w:val="0"/>
        <w:snapToGrid w:val="0"/>
        <w:spacing w:line="560" w:lineRule="exact"/>
        <w:ind w:firstLine="627" w:firstLineChars="196"/>
        <w:rPr>
          <w:rFonts w:hint="eastAsia" w:ascii="TimesNewRoman" w:hAnsi="TimesNewRoman" w:eastAsia="楷体_GB2312" w:cs="TimesNewRoman"/>
          <w:color w:val="FF0000"/>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2023年政府性基金支出</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楷体_GB2312" w:cs="TimesNewRoman"/>
          <w:color w:val="FF0000"/>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（6）年度预算安排。项目预算价87.99万元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w:t>
      </w:r>
      <w:r>
        <w:rPr>
          <w:rFonts w:hint="eastAsia" w:ascii="TimesNewRoman" w:hAnsi="TimesNewRoman" w:eastAsia="仿宋_GB2312" w:cs="TimesNewRoman"/>
          <w:kern w:val="0"/>
          <w:sz w:val="32"/>
          <w:szCs w:val="32"/>
          <w:lang w:val="en-US" w:eastAsia="zh-CN"/>
        </w:rPr>
        <w:t>协助市局做好各类用地的审查报批、建设用地管理、地籍管理、建设项目评估选址、国有土地资本运营、非煤矿山管理工作、测绘工作。</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cs="宋体"/>
                <w:color w:val="000000"/>
                <w:kern w:val="0"/>
                <w:sz w:val="22"/>
                <w:szCs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cs="宋体"/>
                <w:color w:val="000000"/>
                <w:kern w:val="0"/>
                <w:sz w:val="22"/>
                <w:szCs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财政拨款</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eastAsia="宋体"/>
                <w:lang w:val="en-US" w:eastAsia="zh-CN"/>
              </w:rPr>
            </w:pPr>
            <w:r>
              <w:rPr>
                <w:rFonts w:hint="eastAsia"/>
                <w:lang w:val="en-US" w:eastAsia="zh-CN"/>
              </w:rPr>
              <w:t>2023.01-2023.12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87.99万元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87.99万元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rPr>
                <w:rFonts w:ascii="宋体" w:cs="宋体"/>
                <w:sz w:val="20"/>
              </w:rPr>
            </w:pPr>
            <w:r>
              <w:rPr>
                <w:rFonts w:hint="eastAsia"/>
                <w:sz w:val="20"/>
                <w:szCs w:val="20"/>
              </w:rPr>
              <w:t xml:space="preserve"> 指标1：复垦项目备案工作</w:t>
            </w:r>
          </w:p>
        </w:tc>
        <w:tc>
          <w:tcPr>
            <w:tcW w:w="4228" w:type="dxa"/>
            <w:gridSpan w:val="2"/>
            <w:tcBorders>
              <w:tl2br w:val="nil"/>
              <w:tr2bl w:val="nil"/>
            </w:tcBorders>
            <w:noWrap w:val="0"/>
            <w:vAlign w:val="center"/>
          </w:tcPr>
          <w:p>
            <w:pPr>
              <w:rPr>
                <w:rFonts w:ascii="宋体" w:cs="宋体"/>
                <w:sz w:val="20"/>
              </w:rPr>
            </w:pPr>
            <w:r>
              <w:rPr>
                <w:rFonts w:hint="eastAsia"/>
                <w:sz w:val="20"/>
                <w:szCs w:val="20"/>
              </w:rPr>
              <w:t>≤</w:t>
            </w:r>
            <w:r>
              <w:rPr>
                <w:rFonts w:hint="eastAsia"/>
                <w:sz w:val="20"/>
                <w:szCs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vMerge w:val="continue"/>
            <w:tcBorders>
              <w:tl2br w:val="nil"/>
              <w:tr2bl w:val="nil"/>
            </w:tcBorders>
            <w:noWrap w:val="0"/>
            <w:vAlign w:val="center"/>
          </w:tcPr>
          <w:p>
            <w:pPr>
              <w:jc w:val="center"/>
              <w:rPr>
                <w:rFonts w:ascii="宋体" w:cs="宋体"/>
                <w:sz w:val="20"/>
              </w:rPr>
            </w:pPr>
          </w:p>
        </w:tc>
        <w:tc>
          <w:tcPr>
            <w:tcW w:w="2872" w:type="dxa"/>
            <w:tcBorders>
              <w:tl2br w:val="nil"/>
              <w:tr2bl w:val="nil"/>
            </w:tcBorders>
            <w:noWrap w:val="0"/>
            <w:vAlign w:val="center"/>
          </w:tcPr>
          <w:p>
            <w:pPr>
              <w:rPr>
                <w:rFonts w:ascii="宋体" w:cs="宋体"/>
                <w:sz w:val="20"/>
              </w:rPr>
            </w:pPr>
            <w:r>
              <w:rPr>
                <w:rFonts w:hint="eastAsia"/>
                <w:sz w:val="20"/>
                <w:szCs w:val="20"/>
              </w:rPr>
              <w:t xml:space="preserve"> 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noWrap w:val="0"/>
            <w:vAlign w:val="center"/>
          </w:tcPr>
          <w:p>
            <w:pPr>
              <w:rPr>
                <w:rFonts w:ascii="宋体" w:cs="宋体"/>
                <w:sz w:val="20"/>
              </w:rPr>
            </w:pPr>
            <w:r>
              <w:rPr>
                <w:rFonts w:hint="eastAsia"/>
                <w:sz w:val="20"/>
                <w:szCs w:val="20"/>
              </w:rPr>
              <w:t>≤</w:t>
            </w:r>
            <w:r>
              <w:rPr>
                <w:rFonts w:hint="eastAsia"/>
                <w:sz w:val="20"/>
                <w:szCs w:val="20"/>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ascii="宋体" w:cs="宋体"/>
                <w:sz w:val="20"/>
              </w:rPr>
            </w:pPr>
            <w:r>
              <w:rPr>
                <w:rFonts w:hint="eastAsia"/>
                <w:sz w:val="20"/>
                <w:szCs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rPr>
                <w:rFonts w:ascii="宋体" w:cs="宋体"/>
                <w:sz w:val="20"/>
              </w:rPr>
            </w:pPr>
            <w:r>
              <w:rPr>
                <w:rFonts w:hint="eastAsia"/>
                <w:sz w:val="20"/>
                <w:szCs w:val="20"/>
              </w:rPr>
              <w:t xml:space="preserve"> 指标1：项目完成及时性</w:t>
            </w:r>
          </w:p>
        </w:tc>
        <w:tc>
          <w:tcPr>
            <w:tcW w:w="4228" w:type="dxa"/>
            <w:gridSpan w:val="2"/>
            <w:tcBorders>
              <w:tl2br w:val="nil"/>
              <w:tr2bl w:val="nil"/>
            </w:tcBorders>
            <w:noWrap w:val="0"/>
            <w:vAlign w:val="center"/>
          </w:tcPr>
          <w:p>
            <w:pPr>
              <w:rPr>
                <w:rFonts w:ascii="宋体" w:cs="宋体"/>
                <w:sz w:val="20"/>
              </w:rPr>
            </w:pPr>
            <w:r>
              <w:rPr>
                <w:rFonts w:hint="eastAsia"/>
                <w:sz w:val="20"/>
                <w:szCs w:val="20"/>
              </w:rPr>
              <w:t>　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rPr>
                <w:rFonts w:ascii="宋体" w:cs="宋体"/>
                <w:sz w:val="20"/>
              </w:rPr>
            </w:pPr>
            <w:r>
              <w:rPr>
                <w:rFonts w:hint="eastAsia"/>
                <w:sz w:val="20"/>
                <w:szCs w:val="20"/>
              </w:rPr>
              <w:t xml:space="preserve"> 指标1：项目总成本</w:t>
            </w:r>
          </w:p>
        </w:tc>
        <w:tc>
          <w:tcPr>
            <w:tcW w:w="4228" w:type="dxa"/>
            <w:gridSpan w:val="2"/>
            <w:tcBorders>
              <w:tl2br w:val="nil"/>
              <w:tr2bl w:val="nil"/>
            </w:tcBorders>
            <w:noWrap w:val="0"/>
            <w:vAlign w:val="center"/>
          </w:tcPr>
          <w:p>
            <w:pPr>
              <w:rPr>
                <w:rFonts w:ascii="宋体" w:cs="宋体"/>
                <w:sz w:val="20"/>
              </w:rPr>
            </w:pPr>
            <w:r>
              <w:rPr>
                <w:rFonts w:hint="eastAsia"/>
                <w:sz w:val="20"/>
                <w:szCs w:val="20"/>
              </w:rPr>
              <w:t>≤</w:t>
            </w:r>
            <w:r>
              <w:rPr>
                <w:rFonts w:hint="eastAsia"/>
                <w:sz w:val="20"/>
                <w:szCs w:val="20"/>
                <w:lang w:val="en-US" w:eastAsia="zh-CN"/>
              </w:rPr>
              <w:t>87.99万元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加强生态环境保护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noWrap w:val="0"/>
            <w:vAlign w:val="bottom"/>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加强生态环境改善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noWrap w:val="0"/>
            <w:vAlign w:val="center"/>
          </w:tcPr>
          <w:p>
            <w:pPr>
              <w:jc w:val="left"/>
              <w:rPr>
                <w:rFonts w:ascii="宋体" w:cs="宋体"/>
                <w:sz w:val="20"/>
              </w:rPr>
            </w:pPr>
            <w:r>
              <w:rPr>
                <w:rFonts w:hint="eastAsia"/>
                <w:sz w:val="20"/>
                <w:szCs w:val="20"/>
              </w:rPr>
              <w:t>≥</w:t>
            </w:r>
            <w:r>
              <w:rPr>
                <w:rFonts w:hint="eastAsia"/>
                <w:sz w:val="20"/>
                <w:szCs w:val="20"/>
                <w:lang w:val="en-US" w:eastAsia="zh-CN"/>
              </w:rPr>
              <w:t>95%</w:t>
            </w:r>
          </w:p>
        </w:tc>
      </w:tr>
    </w:tbl>
    <w:p/>
    <w:p>
      <w:pPr>
        <w:adjustRightInd w:val="0"/>
        <w:snapToGrid w:val="0"/>
        <w:spacing w:line="580" w:lineRule="exact"/>
        <w:ind w:firstLine="643" w:firstLineChars="200"/>
        <w:rPr>
          <w:rFonts w:hint="eastAsia"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44.08</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1.20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在职人员退休1名</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淮北市自然资源和规划局杜集分局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96.98</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TdlZjk4ZmVmZTQ4NDNiNTFhYWY1YjQ2Yzk5ZTAifQ=="/>
  </w:docVars>
  <w:rsids>
    <w:rsidRoot w:val="00E907C4"/>
    <w:rsid w:val="0057562B"/>
    <w:rsid w:val="006546AF"/>
    <w:rsid w:val="008F6D1A"/>
    <w:rsid w:val="009A3CA3"/>
    <w:rsid w:val="00AE3242"/>
    <w:rsid w:val="00E907C4"/>
    <w:rsid w:val="00EC7755"/>
    <w:rsid w:val="0E566A94"/>
    <w:rsid w:val="1E790A00"/>
    <w:rsid w:val="1EB663D0"/>
    <w:rsid w:val="2DE92495"/>
    <w:rsid w:val="3AED20C9"/>
    <w:rsid w:val="40863674"/>
    <w:rsid w:val="529C17FF"/>
    <w:rsid w:val="7E177FBE"/>
    <w:rsid w:val="7F37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6637</Words>
  <Characters>7550</Characters>
  <Lines>46</Lines>
  <Paragraphs>13</Paragraphs>
  <TotalTime>52</TotalTime>
  <ScaleCrop>false</ScaleCrop>
  <LinksUpToDate>false</LinksUpToDate>
  <CharactersWithSpaces>7729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2024-09-23T08:23:42Z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AB4EE0A6AF1A480382447AB0A0FF96FB</vt:lpwstr>
  </property>
</Properties>
</file>