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99377">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03A9602E"/>
    <w:p w14:paraId="76279FC5">
      <w:pPr>
        <w:rPr>
          <w:rFonts w:hint="eastAsia"/>
        </w:rPr>
      </w:pPr>
    </w:p>
    <w:p w14:paraId="144D275B">
      <w:pPr>
        <w:rPr>
          <w:rFonts w:hint="eastAsia"/>
        </w:rPr>
      </w:pPr>
    </w:p>
    <w:p w14:paraId="6220614F">
      <w:pPr>
        <w:rPr>
          <w:rFonts w:hint="eastAsia"/>
        </w:rPr>
      </w:pPr>
    </w:p>
    <w:p w14:paraId="58FF97B0">
      <w:pPr>
        <w:rPr>
          <w:rFonts w:hint="eastAsia"/>
        </w:rPr>
      </w:pPr>
    </w:p>
    <w:p w14:paraId="004CD966">
      <w:pPr>
        <w:rPr>
          <w:rFonts w:hint="eastAsia"/>
        </w:rPr>
      </w:pPr>
    </w:p>
    <w:p w14:paraId="7995E30E">
      <w:pPr>
        <w:rPr>
          <w:rFonts w:hint="eastAsia"/>
        </w:rPr>
      </w:pPr>
    </w:p>
    <w:p w14:paraId="5D1274E7"/>
    <w:p w14:paraId="62CEC940">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淮北市国土资源局开发区分局</w:t>
      </w:r>
    </w:p>
    <w:p w14:paraId="328BFF1B">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2023年部门预算</w:t>
      </w:r>
    </w:p>
    <w:p w14:paraId="1201A854"/>
    <w:p w14:paraId="37034047"/>
    <w:p w14:paraId="11E2F14B"/>
    <w:p w14:paraId="41221C5E"/>
    <w:p w14:paraId="07A0216B"/>
    <w:p w14:paraId="24C3E511">
      <w:pPr>
        <w:rPr>
          <w:rFonts w:hint="eastAsia"/>
        </w:rPr>
      </w:pPr>
    </w:p>
    <w:p w14:paraId="7E3889D7">
      <w:pPr>
        <w:rPr>
          <w:rFonts w:hint="eastAsia"/>
        </w:rPr>
      </w:pPr>
    </w:p>
    <w:p w14:paraId="780FA357">
      <w:pPr>
        <w:rPr>
          <w:rFonts w:hint="eastAsia"/>
        </w:rPr>
      </w:pPr>
    </w:p>
    <w:p w14:paraId="18B15BD2">
      <w:pPr>
        <w:rPr>
          <w:rFonts w:hint="eastAsia"/>
        </w:rPr>
      </w:pPr>
    </w:p>
    <w:p w14:paraId="5CA38375">
      <w:pPr>
        <w:rPr>
          <w:rFonts w:hint="eastAsia"/>
        </w:rPr>
      </w:pPr>
    </w:p>
    <w:p w14:paraId="33AF7451">
      <w:pPr>
        <w:rPr>
          <w:rFonts w:hint="eastAsia"/>
        </w:rPr>
      </w:pPr>
    </w:p>
    <w:p w14:paraId="0AAEBCEB">
      <w:pPr>
        <w:rPr>
          <w:rFonts w:hint="eastAsia"/>
        </w:rPr>
      </w:pPr>
    </w:p>
    <w:p w14:paraId="6AD8F0FD">
      <w:pPr>
        <w:rPr>
          <w:rFonts w:hint="eastAsia"/>
        </w:rPr>
      </w:pPr>
    </w:p>
    <w:p w14:paraId="084FBD59">
      <w:pPr>
        <w:rPr>
          <w:rFonts w:hint="eastAsia"/>
        </w:rPr>
      </w:pPr>
    </w:p>
    <w:p w14:paraId="6C4169D4">
      <w:pPr>
        <w:rPr>
          <w:rFonts w:hint="eastAsia"/>
        </w:rPr>
      </w:pPr>
    </w:p>
    <w:p w14:paraId="1FEB5EE4">
      <w:pPr>
        <w:rPr>
          <w:rFonts w:hint="eastAsia"/>
        </w:rPr>
      </w:pPr>
    </w:p>
    <w:p w14:paraId="0B5802C2"/>
    <w:p w14:paraId="35516540"/>
    <w:p w14:paraId="6151A4B9">
      <w:pPr>
        <w:rPr>
          <w:rFonts w:hint="eastAsia"/>
        </w:rPr>
      </w:pPr>
    </w:p>
    <w:p w14:paraId="75DB5D9E">
      <w:pPr>
        <w:rPr>
          <w:rFonts w:hint="eastAsia"/>
        </w:rPr>
      </w:pPr>
    </w:p>
    <w:p w14:paraId="389593F4">
      <w:pPr>
        <w:rPr>
          <w:rFonts w:hint="eastAsia"/>
        </w:rPr>
      </w:pPr>
    </w:p>
    <w:p w14:paraId="308DC2FE">
      <w:pPr>
        <w:rPr>
          <w:rFonts w:hint="eastAsia"/>
        </w:rPr>
      </w:pPr>
    </w:p>
    <w:p w14:paraId="0E82AB20"/>
    <w:p w14:paraId="5A665C07">
      <w:pPr>
        <w:pStyle w:val="3"/>
        <w:adjustRightInd w:val="0"/>
        <w:snapToGrid w:val="0"/>
        <w:spacing w:line="560" w:lineRule="exact"/>
        <w:jc w:val="center"/>
        <w:rPr>
          <w:rFonts w:hint="eastAsia" w:ascii="TimesNewRoman" w:hAnsi="TimesNewRoman" w:eastAsia="黑体" w:cs="TimesNewRoman"/>
          <w:bCs/>
          <w:sz w:val="44"/>
          <w:szCs w:val="44"/>
        </w:rPr>
      </w:pPr>
    </w:p>
    <w:p w14:paraId="54CD9501">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C62945D">
      <w:pPr>
        <w:rPr>
          <w:rFonts w:hint="eastAsia"/>
        </w:rPr>
      </w:pPr>
    </w:p>
    <w:p w14:paraId="79EF3D46"/>
    <w:p w14:paraId="6CA0F227">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190F336"/>
    <w:p w14:paraId="1E74B0BA">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3F062A4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992488B">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77B1CE0C">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23F0615F">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14:paraId="197E4902">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1、淮北市国土资源局开发区分局2023年收支总表</w:t>
      </w:r>
    </w:p>
    <w:p w14:paraId="5CF56EA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2、淮北市国土资源局开发区分局2023年收入总表</w:t>
      </w:r>
    </w:p>
    <w:p w14:paraId="05BF906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3、淮北市国土资源局开发区分局2023年支出总表</w:t>
      </w:r>
    </w:p>
    <w:p w14:paraId="5461639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4、淮北市国土资源局开发区分局2023年财政拨款收支总表</w:t>
      </w:r>
    </w:p>
    <w:p w14:paraId="06288A6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5、淮北市国土资源局开发区分局2023年一般公共预算支出表</w:t>
      </w:r>
    </w:p>
    <w:p w14:paraId="114327C5">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6、淮北市国土资源局开发区分局2023年一般公共预算基本支出表</w:t>
      </w:r>
    </w:p>
    <w:p w14:paraId="79375D39">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7、淮北市国土资源局开发区分局2023年政府性基金预算支出表</w:t>
      </w:r>
    </w:p>
    <w:p w14:paraId="753B6B2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8、淮北市国土资源局开发区分局2023年国有资本经营预算支出表</w:t>
      </w:r>
    </w:p>
    <w:p w14:paraId="7F9026C4">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9、淮北市国土资源局开发区分局2023年项目支出表</w:t>
      </w:r>
    </w:p>
    <w:p w14:paraId="2CAA6FC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10、淮北市国土资源局开发区分局2023年政府采购支出表</w:t>
      </w:r>
    </w:p>
    <w:p w14:paraId="0AB13AE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11、淮北市国土资源局开发区分局2023年政府购买服务支出表</w:t>
      </w:r>
    </w:p>
    <w:p w14:paraId="2569F4E4">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14:paraId="511487B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14:paraId="2C96BE7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14:paraId="6FFB7D0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14:paraId="56F830A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14:paraId="5E40D77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14:paraId="61479D87">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14:paraId="63BB98C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14:paraId="06C114F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14:paraId="0BAAAC60">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14:paraId="6FD43E0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14:paraId="7889841F">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14:paraId="7CE82220">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5DF31FDC">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9974ED9">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703FD8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1、淮北市国土资源局开发区分局2023年部门预算纳入绩效考评项目表</w:t>
      </w:r>
    </w:p>
    <w:p w14:paraId="5A0A68F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2、淮北市国土资源局开发区分局2023年部门预算专项资金管理清单（专栏公开）</w:t>
      </w:r>
    </w:p>
    <w:p w14:paraId="2B66E335">
      <w:pPr>
        <w:pStyle w:val="3"/>
        <w:adjustRightInd w:val="0"/>
        <w:snapToGrid w:val="0"/>
        <w:spacing w:line="400" w:lineRule="exact"/>
        <w:ind w:firstLine="800" w:firstLineChars="250"/>
        <w:rPr>
          <w:rFonts w:ascii="TimesNewRoman" w:hAnsi="TimesNewRoman" w:eastAsia="仿宋_GB2312" w:cs="TimesNewRoman"/>
          <w:bCs/>
          <w:sz w:val="32"/>
          <w:szCs w:val="32"/>
        </w:rPr>
      </w:pPr>
    </w:p>
    <w:p w14:paraId="22A6538D">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65629D2B"/>
    <w:p w14:paraId="6A0B32DD">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128736E">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淮北市国土资源局开发区分局负责监督淮北经济开发区内土地规划执行情况，查处土地违法案件；负责办理经济开发区内土地报批、征收；负责实施地政地籍管理，核发《国有土地使用证》；负责办理土地使用权转让审批；负责办理工业用地招拍挂出让事务性工作。具体主要职责如下：</w:t>
      </w:r>
    </w:p>
    <w:p w14:paraId="12763F3F">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1、国有建设用地使用权划拨审批。</w:t>
      </w:r>
    </w:p>
    <w:p w14:paraId="1975B019">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2、国有建设用地土地使用权和地上建筑物、其他附着物所</w:t>
      </w:r>
    </w:p>
    <w:p w14:paraId="6B3A9B3A">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有权分割转让批准。</w:t>
      </w:r>
    </w:p>
    <w:p w14:paraId="73AF8FE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建设项目用地预审与选址意见书。</w:t>
      </w:r>
    </w:p>
    <w:p w14:paraId="4FD6AE16">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4、建设项目用地规划许可证。</w:t>
      </w:r>
    </w:p>
    <w:p w14:paraId="7BAD20E2">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5、建设项目工程规划许可证。</w:t>
      </w:r>
    </w:p>
    <w:p w14:paraId="3D4266E9">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6、修建性详细规划（含建设工程设计）方案审定。</w:t>
      </w:r>
    </w:p>
    <w:p w14:paraId="1CB75930">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7、建设工程规划核实。</w:t>
      </w:r>
    </w:p>
    <w:p w14:paraId="1ED744D2">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8、建设工程验线核准。</w:t>
      </w:r>
    </w:p>
    <w:p w14:paraId="32087F82">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6D3A4687">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从预算单位构成看，淮北市国土资源局开发区分局202</w:t>
      </w: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年度部门预算仅包本单位预算，无其他下属单位预算。</w:t>
      </w:r>
    </w:p>
    <w:p w14:paraId="6BD3762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14:paraId="11805B4A">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1、开展批而未供等“四未”土地摸底排查，逐宗到地块，完成更新上图工作，并完成本年度的土地批而未供处置工作；</w:t>
      </w:r>
    </w:p>
    <w:p w14:paraId="5569B9A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2、强化规划管理，按照“布局集中，用地集约和产业集聚”原则，宣传和引导企业进标准化厂房，尽量不占耕地，少占耕地；</w:t>
      </w:r>
    </w:p>
    <w:p w14:paraId="154E932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3、为简化办事程序，提高办事效率，创新性开展低风险工程项目审批服务，实行“清单+告知承诺制”审批工作；</w:t>
      </w:r>
    </w:p>
    <w:p w14:paraId="0C86F5D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4、为保障项目用地，积极开展华孚时尚、锡州机械、杜庄路、西陈路等项目用地组卷报批工作；</w:t>
      </w:r>
    </w:p>
    <w:p w14:paraId="505C051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5、积极开展招商引资工作，对接市开发区招商信息资源；</w:t>
      </w:r>
    </w:p>
    <w:p w14:paraId="12057A60">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6、现场检查项目供后开工建设情况，完善开发区网上供后监管系统的填报、更新等工作。</w:t>
      </w:r>
    </w:p>
    <w:p w14:paraId="64768EB6"/>
    <w:p w14:paraId="5F96D8BA">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14:paraId="7E05F3BB">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D92D1DD">
      <w:r>
        <w:t xml:space="preserve">                                        </w:t>
      </w:r>
    </w:p>
    <w:p w14:paraId="7853A005">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14:paraId="30377376"/>
    <w:p w14:paraId="241FD887">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14:paraId="54049B3B">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按照综合预算的原则，淮北市国土资源局开发区分局所有收入和支出均纳入部门预算管理。淮北市国土资源局开发区分局2023年收支总预算</w:t>
      </w:r>
      <w:r>
        <w:rPr>
          <w:rFonts w:hint="eastAsia" w:ascii="TimesNewRoman" w:hAnsi="TimesNewRoman" w:eastAsia="仿宋_GB2312" w:cs="TimesNewRoman"/>
          <w:sz w:val="32"/>
          <w:szCs w:val="32"/>
          <w:lang w:val="en-US" w:eastAsia="zh-CN"/>
        </w:rPr>
        <w:t>112.56</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w:t>
      </w:r>
      <w:r>
        <w:rPr>
          <w:rFonts w:hint="eastAsia" w:ascii="仿宋_GB2312" w:hAnsi="仿宋" w:eastAsia="仿宋_GB2312"/>
          <w:sz w:val="32"/>
          <w:szCs w:val="32"/>
        </w:rPr>
        <w:t>自然资源海洋气象等支出、</w:t>
      </w:r>
      <w:r>
        <w:rPr>
          <w:rFonts w:hint="eastAsia" w:ascii="TimesNewRoman" w:hAnsi="TimesNewRoman" w:eastAsia="仿宋_GB2312" w:cs="TimesNewRoman"/>
          <w:sz w:val="32"/>
          <w:szCs w:val="32"/>
        </w:rPr>
        <w:t>住房保障支出。</w:t>
      </w:r>
    </w:p>
    <w:p w14:paraId="16DEAEE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14:paraId="073AE3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w:t>
      </w:r>
    </w:p>
    <w:p w14:paraId="59E46357">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112.56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基本支出减少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2022年度、2023年度均未安排</w:t>
      </w:r>
      <w:r>
        <w:rPr>
          <w:rFonts w:hint="eastAsia" w:ascii="TimesNewRoman" w:hAnsi="TimesNewRoman" w:eastAsia="仿宋_GB2312" w:cs="TimesNewRoman"/>
          <w:kern w:val="0"/>
          <w:sz w:val="32"/>
          <w:szCs w:val="32"/>
        </w:rPr>
        <w:t>财政专户管理资金收入。</w:t>
      </w:r>
    </w:p>
    <w:p w14:paraId="2B6896C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14:paraId="5ED96C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国土资源业务日常工作顺利开展等</w:t>
      </w:r>
      <w:r>
        <w:rPr>
          <w:rFonts w:hint="eastAsia" w:ascii="TimesNewRoman" w:hAnsi="TimesNewRoman" w:eastAsia="仿宋_GB2312" w:cs="TimesNewRoman"/>
          <w:kern w:val="0"/>
          <w:sz w:val="32"/>
          <w:szCs w:val="32"/>
        </w:rPr>
        <w:t>。</w:t>
      </w:r>
    </w:p>
    <w:p w14:paraId="4253919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14:paraId="0171EF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3.63</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63.9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56.77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9.06</w:t>
      </w:r>
      <w:r>
        <w:rPr>
          <w:rFonts w:hint="eastAsia" w:ascii="TimesNewRoman" w:hAnsi="TimesNewRoman" w:eastAsia="仿宋_GB2312" w:cs="TimesNewRoman"/>
          <w:kern w:val="0"/>
          <w:sz w:val="32"/>
          <w:szCs w:val="32"/>
        </w:rPr>
        <w:t>%。</w:t>
      </w:r>
    </w:p>
    <w:p w14:paraId="6B199B45">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684A9B2D">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FDE7F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w:t>
      </w:r>
    </w:p>
    <w:p w14:paraId="6F06B434">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432FCD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13.58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4.52</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70.64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11.28</w:t>
      </w:r>
      <w:r>
        <w:rPr>
          <w:rFonts w:hint="eastAsia" w:ascii="TimesNewRoman" w:hAnsi="TimesNewRoman" w:eastAsia="仿宋_GB2312" w:cs="TimesNewRoman"/>
          <w:kern w:val="0"/>
          <w:sz w:val="32"/>
          <w:szCs w:val="32"/>
        </w:rPr>
        <w:t>%。</w:t>
      </w:r>
    </w:p>
    <w:p w14:paraId="10BB1163">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D22A53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 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8.05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2.85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54.81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养老基数调整</w:t>
      </w:r>
      <w:r>
        <w:rPr>
          <w:rFonts w:hint="eastAsia" w:ascii="TimesNewRoman" w:hAnsi="TimesNewRoman" w:eastAsia="仿宋_GB2312" w:cs="TimesNewRoman"/>
          <w:kern w:val="0"/>
          <w:sz w:val="32"/>
          <w:szCs w:val="32"/>
        </w:rPr>
        <w:t>。</w:t>
      </w:r>
    </w:p>
    <w:p w14:paraId="3EB373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4.03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职业年金基数调整</w:t>
      </w:r>
      <w:r>
        <w:rPr>
          <w:rFonts w:hint="eastAsia" w:ascii="TimesNewRoman" w:hAnsi="TimesNewRoman" w:eastAsia="仿宋_GB2312" w:cs="TimesNewRoman"/>
          <w:kern w:val="0"/>
          <w:sz w:val="32"/>
          <w:szCs w:val="32"/>
        </w:rPr>
        <w:t>。</w:t>
      </w:r>
    </w:p>
    <w:p w14:paraId="337FE74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14:paraId="6F63908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 卫生健康支出（类）行政事业单位医疗（款）行政单位医疗（项）202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10.26</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14:paraId="3806659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 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11.34</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14:paraId="16CE27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 自然资源海洋气象等支出（类）自然资源事务（款）行政运行（项）202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19.65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40.46</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增加基础绩效奖</w:t>
      </w:r>
      <w:r>
        <w:rPr>
          <w:rFonts w:hint="eastAsia" w:ascii="TimesNewRoman" w:hAnsi="TimesNewRoman" w:eastAsia="仿宋_GB2312" w:cs="TimesNewRoman"/>
          <w:kern w:val="0"/>
          <w:sz w:val="32"/>
          <w:szCs w:val="32"/>
        </w:rPr>
        <w:t>。</w:t>
      </w:r>
    </w:p>
    <w:p w14:paraId="27C6EEF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 自然资源海洋气象等支出（类）自然资源事务（款）事业运行（项）202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44.25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22.56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104.01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增加基础绩效奖</w:t>
      </w:r>
      <w:r>
        <w:rPr>
          <w:rFonts w:hint="eastAsia" w:ascii="TimesNewRoman" w:hAnsi="TimesNewRoman" w:eastAsia="仿宋_GB2312" w:cs="TimesNewRoman"/>
          <w:kern w:val="0"/>
          <w:sz w:val="32"/>
          <w:szCs w:val="32"/>
        </w:rPr>
        <w:t>。</w:t>
      </w:r>
    </w:p>
    <w:p w14:paraId="48054BD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41.45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公积金基数调整。</w:t>
      </w:r>
    </w:p>
    <w:p w14:paraId="68CF76A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41.51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公积金基数调整。</w:t>
      </w:r>
    </w:p>
    <w:p w14:paraId="3D3A55D4">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14:paraId="53BF2A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82.91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7.55</w:t>
      </w:r>
      <w:r>
        <w:rPr>
          <w:rFonts w:hint="eastAsia" w:ascii="TimesNewRoman" w:hAnsi="TimesNewRoman" w:eastAsia="仿宋_GB2312" w:cs="TimesNewRoman"/>
          <w:kern w:val="0"/>
          <w:sz w:val="32"/>
          <w:szCs w:val="32"/>
        </w:rPr>
        <w:t>万元。</w:t>
      </w:r>
    </w:p>
    <w:p w14:paraId="21A0F145">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82.91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工会经费、福利费、住房公积金、医疗费、其他工资福利支出、对其他个人和家庭的补助支出。</w:t>
      </w:r>
    </w:p>
    <w:p w14:paraId="7F22478C">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7.55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14:paraId="65ED59AB">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14:paraId="154202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2023年政府性基金支出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基本支出减少</w:t>
      </w:r>
      <w:r>
        <w:rPr>
          <w:rFonts w:hint="eastAsia" w:ascii="TimesNewRoman" w:hAnsi="TimesNewRoman" w:eastAsia="仿宋_GB2312" w:cs="TimesNewRoman"/>
          <w:kern w:val="0"/>
          <w:sz w:val="32"/>
          <w:szCs w:val="32"/>
        </w:rPr>
        <w:t>。具体情况如下：</w:t>
      </w:r>
    </w:p>
    <w:p w14:paraId="799802D0">
      <w:pPr>
        <w:pStyle w:val="3"/>
        <w:adjustRightInd w:val="0"/>
        <w:snapToGrid w:val="0"/>
        <w:spacing w:before="0" w:beforeAutospacing="0" w:after="0" w:afterAutospacing="0" w:line="600" w:lineRule="exact"/>
        <w:ind w:firstLine="643" w:firstLineChars="200"/>
        <w:rPr>
          <w:rFonts w:hint="eastAsia" w:ascii="TimesNewRoman" w:hAnsi="TimesNewRoman" w:eastAsia="仿宋_GB2312" w:cs="TimesNewRoman"/>
          <w:kern w:val="0"/>
          <w:sz w:val="32"/>
          <w:szCs w:val="32"/>
          <w:lang w:val="en-US" w:eastAsia="zh-CN" w:bidi="ar-SA"/>
        </w:rPr>
      </w:pPr>
      <w:r>
        <w:rPr>
          <w:rFonts w:hint="eastAsia" w:ascii="仿宋_GB2312" w:hAnsi="仿宋" w:eastAsia="仿宋_GB2312"/>
          <w:b/>
          <w:sz w:val="32"/>
          <w:szCs w:val="32"/>
        </w:rPr>
        <w:t>（一）</w:t>
      </w:r>
      <w:r>
        <w:rPr>
          <w:rFonts w:hint="eastAsia" w:ascii="TimesNewRoman" w:hAnsi="TimesNewRoman" w:eastAsia="仿宋_GB2312" w:cs="TimesNewRoman"/>
          <w:b/>
          <w:kern w:val="0"/>
          <w:sz w:val="32"/>
          <w:szCs w:val="32"/>
          <w:lang w:val="en-US" w:eastAsia="zh-CN" w:bidi="ar-SA"/>
        </w:rPr>
        <w:t>城乡社区支出（类）国有土地使用权出让收入安排的支出（款）土地出让业务支出（项）</w:t>
      </w:r>
      <w:r>
        <w:rPr>
          <w:rFonts w:hint="eastAsia" w:ascii="TimesNewRoman" w:hAnsi="TimesNewRoman" w:eastAsia="仿宋_GB2312" w:cs="TimesNewRoman"/>
          <w:kern w:val="0"/>
          <w:sz w:val="32"/>
          <w:szCs w:val="32"/>
          <w:lang w:val="en-US" w:eastAsia="zh-CN" w:bidi="ar-SA"/>
        </w:rPr>
        <w:t>22.1万元，比2022年预算</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bidi="ar-SA"/>
        </w:rPr>
        <w:t>，原因主要是</w:t>
      </w:r>
      <w:r>
        <w:rPr>
          <w:rFonts w:hint="eastAsia" w:ascii="TimesNewRoman" w:hAnsi="TimesNewRoman" w:eastAsia="仿宋_GB2312" w:cs="TimesNewRoman"/>
          <w:kern w:val="0"/>
          <w:sz w:val="32"/>
          <w:szCs w:val="32"/>
          <w:lang w:eastAsia="zh-CN"/>
        </w:rPr>
        <w:t>基本支出减少。</w:t>
      </w:r>
    </w:p>
    <w:p w14:paraId="7246476B">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14:paraId="023422B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14:paraId="490B305F">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14:paraId="04AFB50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40FDC5">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14:paraId="1B18D8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14:paraId="7A71E3B6">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14:paraId="3CA442A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2023年没有安排政府购买服务支出。</w:t>
      </w:r>
    </w:p>
    <w:p w14:paraId="5D1F3805">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92CE8C6">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65B97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1、“国土资源业务费”项目。</w:t>
      </w:r>
    </w:p>
    <w:p w14:paraId="0D3D024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08942C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合属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14:paraId="2006BFC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p>
    <w:p w14:paraId="5E2B584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12</w:t>
      </w:r>
    </w:p>
    <w:p w14:paraId="09BBA8B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14F1D43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19万元</w:t>
      </w:r>
      <w:r>
        <w:rPr>
          <w:rFonts w:hint="eastAsia" w:ascii="TimesNewRoman" w:hAnsi="TimesNewRoman" w:eastAsia="仿宋_GB2312" w:cs="TimesNewRoman"/>
          <w:kern w:val="0"/>
          <w:sz w:val="32"/>
          <w:szCs w:val="32"/>
          <w:lang w:eastAsia="zh-CN"/>
        </w:rPr>
        <w:t>。</w:t>
      </w:r>
    </w:p>
    <w:p w14:paraId="27BBCAE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774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03272B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305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09733B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14:paraId="0569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FE1661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631F634">
            <w:pPr>
              <w:jc w:val="center"/>
              <w:rPr>
                <w:rFonts w:ascii="宋体" w:cs="宋体"/>
                <w:sz w:val="20"/>
              </w:rPr>
            </w:pPr>
            <w:r>
              <w:rPr>
                <w:rFonts w:hint="eastAsia"/>
                <w:color w:val="000000"/>
                <w:sz w:val="20"/>
                <w:szCs w:val="20"/>
              </w:rPr>
              <w:t>国土资源业务费　</w:t>
            </w:r>
          </w:p>
        </w:tc>
      </w:tr>
      <w:tr w14:paraId="3A8B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1BAB2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79659FB3">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13288D7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25187718">
            <w:pPr>
              <w:jc w:val="center"/>
            </w:pPr>
            <w:r>
              <w:rPr>
                <w:rFonts w:hint="eastAsia"/>
                <w:color w:val="000000"/>
                <w:sz w:val="20"/>
                <w:szCs w:val="20"/>
              </w:rPr>
              <w:t>淮北市国土资源局开发区分局</w:t>
            </w:r>
          </w:p>
        </w:tc>
      </w:tr>
      <w:tr w14:paraId="32E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494CCB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AC15C04">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50083AA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28754B8E">
            <w:pPr>
              <w:jc w:val="center"/>
              <w:rPr>
                <w:rFonts w:hint="default" w:eastAsia="宋体"/>
                <w:lang w:val="en-US" w:eastAsia="zh-CN"/>
              </w:rPr>
            </w:pPr>
            <w:r>
              <w:rPr>
                <w:rFonts w:hint="eastAsia"/>
                <w:lang w:val="en-US" w:eastAsia="zh-CN"/>
              </w:rPr>
              <w:t>2023.1-2023.12</w:t>
            </w:r>
          </w:p>
        </w:tc>
      </w:tr>
      <w:tr w14:paraId="3813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B02922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B2BF7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403FF7C5">
            <w:pPr>
              <w:jc w:val="right"/>
              <w:rPr>
                <w:rFonts w:hint="default" w:ascii="宋体" w:eastAsia="宋体" w:cs="宋体"/>
                <w:sz w:val="20"/>
                <w:lang w:val="en-US" w:eastAsia="zh-CN"/>
              </w:rPr>
            </w:pPr>
            <w:r>
              <w:rPr>
                <w:rFonts w:hint="eastAsia" w:ascii="宋体" w:cs="宋体"/>
                <w:sz w:val="20"/>
                <w:lang w:val="en-US" w:eastAsia="zh-CN"/>
              </w:rPr>
              <w:t>19</w:t>
            </w:r>
          </w:p>
        </w:tc>
      </w:tr>
      <w:tr w14:paraId="3E7E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0C6044D">
            <w:pPr>
              <w:jc w:val="center"/>
              <w:rPr>
                <w:rFonts w:ascii="宋体" w:cs="宋体"/>
                <w:sz w:val="20"/>
              </w:rPr>
            </w:pPr>
          </w:p>
        </w:tc>
        <w:tc>
          <w:tcPr>
            <w:tcW w:w="3349" w:type="dxa"/>
            <w:gridSpan w:val="2"/>
            <w:tcBorders>
              <w:tl2br w:val="nil"/>
              <w:tr2bl w:val="nil"/>
            </w:tcBorders>
            <w:noWrap w:val="0"/>
            <w:vAlign w:val="center"/>
          </w:tcPr>
          <w:p w14:paraId="6A48D5A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147C97E">
            <w:pPr>
              <w:jc w:val="right"/>
              <w:rPr>
                <w:rFonts w:hint="default" w:ascii="宋体" w:eastAsia="宋体" w:cs="宋体"/>
                <w:sz w:val="20"/>
                <w:lang w:val="en-US" w:eastAsia="zh-CN"/>
              </w:rPr>
            </w:pPr>
          </w:p>
        </w:tc>
      </w:tr>
      <w:tr w14:paraId="7967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43" w:type="dxa"/>
            <w:gridSpan w:val="3"/>
            <w:vMerge w:val="continue"/>
            <w:tcBorders>
              <w:tl2br w:val="nil"/>
              <w:tr2bl w:val="nil"/>
            </w:tcBorders>
            <w:noWrap w:val="0"/>
            <w:vAlign w:val="center"/>
          </w:tcPr>
          <w:p w14:paraId="22E9296C">
            <w:pPr>
              <w:jc w:val="center"/>
              <w:rPr>
                <w:rFonts w:ascii="宋体" w:cs="宋体"/>
                <w:sz w:val="20"/>
              </w:rPr>
            </w:pPr>
          </w:p>
        </w:tc>
        <w:tc>
          <w:tcPr>
            <w:tcW w:w="3349" w:type="dxa"/>
            <w:gridSpan w:val="2"/>
            <w:tcBorders>
              <w:tl2br w:val="nil"/>
              <w:tr2bl w:val="nil"/>
            </w:tcBorders>
            <w:noWrap w:val="0"/>
            <w:vAlign w:val="center"/>
          </w:tcPr>
          <w:p w14:paraId="6B83C6E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6C9A59B">
            <w:pPr>
              <w:jc w:val="right"/>
              <w:rPr>
                <w:rFonts w:ascii="宋体" w:cs="宋体"/>
                <w:sz w:val="20"/>
              </w:rPr>
            </w:pPr>
          </w:p>
        </w:tc>
      </w:tr>
      <w:tr w14:paraId="00E3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15141CD">
            <w:pPr>
              <w:jc w:val="center"/>
              <w:rPr>
                <w:rFonts w:ascii="宋体" w:cs="宋体"/>
                <w:sz w:val="20"/>
              </w:rPr>
            </w:pPr>
          </w:p>
        </w:tc>
        <w:tc>
          <w:tcPr>
            <w:tcW w:w="3349" w:type="dxa"/>
            <w:gridSpan w:val="2"/>
            <w:tcBorders>
              <w:tl2br w:val="nil"/>
              <w:tr2bl w:val="nil"/>
            </w:tcBorders>
            <w:noWrap w:val="0"/>
            <w:vAlign w:val="center"/>
          </w:tcPr>
          <w:p w14:paraId="7CCD91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6AA10974">
            <w:pPr>
              <w:jc w:val="right"/>
              <w:rPr>
                <w:rFonts w:hint="default" w:ascii="宋体" w:eastAsia="宋体" w:cs="宋体"/>
                <w:sz w:val="20"/>
                <w:lang w:val="en-US" w:eastAsia="zh-CN"/>
              </w:rPr>
            </w:pPr>
            <w:r>
              <w:rPr>
                <w:rFonts w:hint="eastAsia" w:ascii="宋体" w:cs="宋体"/>
                <w:sz w:val="20"/>
                <w:lang w:val="en-US" w:eastAsia="zh-CN"/>
              </w:rPr>
              <w:t>19</w:t>
            </w:r>
          </w:p>
        </w:tc>
      </w:tr>
      <w:tr w14:paraId="633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3AF1E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39E2276D">
            <w:pPr>
              <w:jc w:val="left"/>
              <w:rPr>
                <w:rFonts w:ascii="宋体" w:cs="宋体"/>
                <w:sz w:val="20"/>
              </w:rPr>
            </w:pPr>
            <w:r>
              <w:rPr>
                <w:rFonts w:hint="eastAsia"/>
                <w:sz w:val="20"/>
                <w:szCs w:val="20"/>
              </w:rPr>
              <w:t>目标1：做好人员培训、加强网络维护，对辖区内的土地进行前期的地籍调查、测量绘制，对成熟的地块进行规划设计、土地评估，公告等一系列工作</w:t>
            </w:r>
            <w:r>
              <w:rPr>
                <w:rFonts w:hint="eastAsia"/>
                <w:sz w:val="20"/>
                <w:szCs w:val="20"/>
              </w:rPr>
              <w:br w:type="textWrapping"/>
            </w:r>
            <w:r>
              <w:rPr>
                <w:rFonts w:hint="eastAsia"/>
                <w:sz w:val="20"/>
                <w:szCs w:val="20"/>
              </w:rPr>
              <w:t xml:space="preserve"> 目标2：对全区土地资源管理重大问题，实行集体研究、民主决策，提高了决策的科学性、民主性。</w:t>
            </w:r>
          </w:p>
        </w:tc>
      </w:tr>
      <w:tr w14:paraId="400D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488678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AC82B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3742B2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174267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4E70AB6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515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14:paraId="26077498">
            <w:pPr>
              <w:jc w:val="center"/>
              <w:rPr>
                <w:rFonts w:ascii="宋体" w:cs="宋体"/>
                <w:sz w:val="20"/>
              </w:rPr>
            </w:pPr>
          </w:p>
        </w:tc>
        <w:tc>
          <w:tcPr>
            <w:tcW w:w="723" w:type="dxa"/>
            <w:vMerge w:val="restart"/>
            <w:tcBorders>
              <w:tl2br w:val="nil"/>
              <w:tr2bl w:val="nil"/>
            </w:tcBorders>
            <w:noWrap w:val="0"/>
            <w:vAlign w:val="center"/>
          </w:tcPr>
          <w:p w14:paraId="052EE37C">
            <w:pPr>
              <w:jc w:val="center"/>
              <w:rPr>
                <w:rFonts w:ascii="宋体" w:cs="宋体"/>
                <w:sz w:val="20"/>
              </w:rPr>
            </w:pPr>
            <w:r>
              <w:rPr>
                <w:rFonts w:hint="eastAsia" w:ascii="宋体" w:hAnsi="宋体" w:cs="宋体"/>
                <w:sz w:val="20"/>
                <w:szCs w:val="20"/>
              </w:rPr>
              <w:t>产出指标</w:t>
            </w:r>
          </w:p>
        </w:tc>
        <w:tc>
          <w:tcPr>
            <w:tcW w:w="759" w:type="dxa"/>
            <w:gridSpan w:val="2"/>
            <w:tcBorders>
              <w:tl2br w:val="nil"/>
              <w:tr2bl w:val="nil"/>
            </w:tcBorders>
            <w:noWrap w:val="0"/>
            <w:vAlign w:val="center"/>
          </w:tcPr>
          <w:p w14:paraId="6321630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数量指标</w:t>
            </w:r>
          </w:p>
        </w:tc>
        <w:tc>
          <w:tcPr>
            <w:tcW w:w="2872" w:type="dxa"/>
            <w:tcBorders>
              <w:tl2br w:val="nil"/>
              <w:tr2bl w:val="nil"/>
            </w:tcBorders>
            <w:noWrap w:val="0"/>
            <w:vAlign w:val="center"/>
          </w:tcPr>
          <w:p w14:paraId="502E9DE6">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w:t>
            </w:r>
          </w:p>
        </w:tc>
        <w:tc>
          <w:tcPr>
            <w:tcW w:w="4228" w:type="dxa"/>
            <w:gridSpan w:val="2"/>
            <w:tcBorders>
              <w:tl2br w:val="nil"/>
              <w:tr2bl w:val="nil"/>
            </w:tcBorders>
            <w:noWrap w:val="0"/>
            <w:vAlign w:val="center"/>
          </w:tcPr>
          <w:p w14:paraId="79416073">
            <w:pPr>
              <w:jc w:val="center"/>
              <w:rPr>
                <w:sz w:val="20"/>
                <w:szCs w:val="20"/>
              </w:rPr>
            </w:pPr>
            <w:r>
              <w:rPr>
                <w:rFonts w:hint="eastAsia"/>
                <w:sz w:val="20"/>
                <w:szCs w:val="20"/>
              </w:rPr>
              <w:t>≤19万元</w:t>
            </w:r>
          </w:p>
        </w:tc>
      </w:tr>
      <w:tr w14:paraId="0F3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14:paraId="2C795670">
            <w:pPr>
              <w:jc w:val="center"/>
              <w:rPr>
                <w:rFonts w:ascii="宋体" w:cs="宋体"/>
                <w:sz w:val="20"/>
              </w:rPr>
            </w:pPr>
          </w:p>
        </w:tc>
        <w:tc>
          <w:tcPr>
            <w:tcW w:w="723" w:type="dxa"/>
            <w:vMerge w:val="continue"/>
            <w:tcBorders>
              <w:tl2br w:val="nil"/>
              <w:tr2bl w:val="nil"/>
            </w:tcBorders>
            <w:noWrap w:val="0"/>
            <w:vAlign w:val="center"/>
          </w:tcPr>
          <w:p w14:paraId="7D6CB511">
            <w:pPr>
              <w:jc w:val="center"/>
              <w:rPr>
                <w:rFonts w:ascii="宋体" w:cs="宋体"/>
                <w:sz w:val="20"/>
              </w:rPr>
            </w:pPr>
          </w:p>
        </w:tc>
        <w:tc>
          <w:tcPr>
            <w:tcW w:w="759" w:type="dxa"/>
            <w:gridSpan w:val="2"/>
            <w:tcBorders>
              <w:tl2br w:val="nil"/>
              <w:tr2bl w:val="nil"/>
            </w:tcBorders>
            <w:noWrap w:val="0"/>
            <w:vAlign w:val="center"/>
          </w:tcPr>
          <w:p w14:paraId="75BC63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031F99F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noWrap w:val="0"/>
            <w:vAlign w:val="center"/>
          </w:tcPr>
          <w:p w14:paraId="74C5B205">
            <w:pPr>
              <w:jc w:val="center"/>
              <w:rPr>
                <w:rFonts w:ascii="宋体" w:cs="宋体"/>
                <w:sz w:val="20"/>
              </w:rPr>
            </w:pPr>
            <w:r>
              <w:rPr>
                <w:sz w:val="20"/>
                <w:szCs w:val="20"/>
              </w:rPr>
              <w:t>严格按照经费支出规定支付</w:t>
            </w:r>
          </w:p>
        </w:tc>
      </w:tr>
      <w:tr w14:paraId="3A04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14:paraId="53B1986D">
            <w:pPr>
              <w:jc w:val="center"/>
              <w:rPr>
                <w:rFonts w:ascii="宋体" w:cs="宋体"/>
                <w:sz w:val="20"/>
              </w:rPr>
            </w:pPr>
          </w:p>
        </w:tc>
        <w:tc>
          <w:tcPr>
            <w:tcW w:w="723" w:type="dxa"/>
            <w:vMerge w:val="continue"/>
            <w:tcBorders>
              <w:tl2br w:val="nil"/>
              <w:tr2bl w:val="nil"/>
            </w:tcBorders>
            <w:noWrap w:val="0"/>
            <w:vAlign w:val="center"/>
          </w:tcPr>
          <w:p w14:paraId="2817C6CB">
            <w:pPr>
              <w:jc w:val="center"/>
              <w:rPr>
                <w:rFonts w:ascii="宋体" w:cs="宋体"/>
                <w:sz w:val="20"/>
              </w:rPr>
            </w:pPr>
          </w:p>
        </w:tc>
        <w:tc>
          <w:tcPr>
            <w:tcW w:w="759" w:type="dxa"/>
            <w:gridSpan w:val="2"/>
            <w:tcBorders>
              <w:tl2br w:val="nil"/>
              <w:tr2bl w:val="nil"/>
            </w:tcBorders>
            <w:noWrap w:val="0"/>
            <w:vAlign w:val="center"/>
          </w:tcPr>
          <w:p w14:paraId="3370CDA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7A696C2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noWrap w:val="0"/>
            <w:vAlign w:val="center"/>
          </w:tcPr>
          <w:p w14:paraId="750B5CA3">
            <w:pPr>
              <w:jc w:val="center"/>
              <w:rPr>
                <w:rFonts w:ascii="宋体" w:cs="宋体"/>
                <w:sz w:val="20"/>
              </w:rPr>
            </w:pPr>
            <w:r>
              <w:rPr>
                <w:sz w:val="20"/>
                <w:szCs w:val="20"/>
              </w:rPr>
              <w:t>序时完成</w:t>
            </w:r>
          </w:p>
        </w:tc>
      </w:tr>
      <w:tr w14:paraId="046B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8" w:type="dxa"/>
            <w:vMerge w:val="continue"/>
            <w:tcBorders>
              <w:tl2br w:val="nil"/>
              <w:tr2bl w:val="nil"/>
            </w:tcBorders>
            <w:noWrap w:val="0"/>
            <w:vAlign w:val="center"/>
          </w:tcPr>
          <w:p w14:paraId="57968CE8">
            <w:pPr>
              <w:jc w:val="center"/>
              <w:rPr>
                <w:rFonts w:ascii="宋体" w:cs="宋体"/>
                <w:sz w:val="20"/>
              </w:rPr>
            </w:pPr>
          </w:p>
        </w:tc>
        <w:tc>
          <w:tcPr>
            <w:tcW w:w="723" w:type="dxa"/>
            <w:vMerge w:val="continue"/>
            <w:tcBorders>
              <w:tl2br w:val="nil"/>
              <w:tr2bl w:val="nil"/>
            </w:tcBorders>
            <w:noWrap w:val="0"/>
            <w:vAlign w:val="center"/>
          </w:tcPr>
          <w:p w14:paraId="67987307">
            <w:pPr>
              <w:jc w:val="center"/>
              <w:rPr>
                <w:rFonts w:ascii="宋体" w:cs="宋体"/>
                <w:sz w:val="20"/>
              </w:rPr>
            </w:pPr>
          </w:p>
        </w:tc>
        <w:tc>
          <w:tcPr>
            <w:tcW w:w="759" w:type="dxa"/>
            <w:gridSpan w:val="2"/>
            <w:tcBorders>
              <w:tl2br w:val="nil"/>
              <w:tr2bl w:val="nil"/>
            </w:tcBorders>
            <w:noWrap w:val="0"/>
            <w:vAlign w:val="center"/>
          </w:tcPr>
          <w:p w14:paraId="1A3687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38BFD45">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noWrap w:val="0"/>
            <w:vAlign w:val="center"/>
          </w:tcPr>
          <w:p w14:paraId="25ECE265">
            <w:pPr>
              <w:jc w:val="center"/>
              <w:rPr>
                <w:rFonts w:ascii="宋体" w:cs="宋体"/>
                <w:sz w:val="20"/>
              </w:rPr>
            </w:pPr>
            <w:r>
              <w:rPr>
                <w:rFonts w:hint="eastAsia"/>
                <w:sz w:val="20"/>
                <w:szCs w:val="20"/>
              </w:rPr>
              <w:t>≤19万元</w:t>
            </w:r>
          </w:p>
        </w:tc>
      </w:tr>
      <w:tr w14:paraId="3347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6389A9">
            <w:pPr>
              <w:jc w:val="center"/>
              <w:rPr>
                <w:rFonts w:ascii="宋体" w:cs="宋体"/>
                <w:sz w:val="20"/>
              </w:rPr>
            </w:pPr>
          </w:p>
        </w:tc>
        <w:tc>
          <w:tcPr>
            <w:tcW w:w="723" w:type="dxa"/>
            <w:vMerge w:val="restart"/>
            <w:tcBorders>
              <w:tl2br w:val="nil"/>
              <w:tr2bl w:val="nil"/>
            </w:tcBorders>
            <w:noWrap w:val="0"/>
            <w:vAlign w:val="center"/>
          </w:tcPr>
          <w:p w14:paraId="5AF04BB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F6CC7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C8C102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noWrap w:val="0"/>
            <w:vAlign w:val="center"/>
          </w:tcPr>
          <w:p w14:paraId="40EA1E56">
            <w:pPr>
              <w:jc w:val="center"/>
              <w:rPr>
                <w:rFonts w:ascii="宋体" w:cs="宋体"/>
                <w:sz w:val="20"/>
              </w:rPr>
            </w:pPr>
            <w:r>
              <w:rPr>
                <w:sz w:val="20"/>
                <w:szCs w:val="20"/>
              </w:rPr>
              <w:t>通过做好人员培训、加强网络维护，有效节约对辖区内的土地进行前期的地籍调查、测量绘制，土地评估，公告等一系列工作的成本</w:t>
            </w:r>
          </w:p>
        </w:tc>
      </w:tr>
      <w:tr w14:paraId="6E25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59C5D68">
            <w:pPr>
              <w:jc w:val="center"/>
              <w:rPr>
                <w:rFonts w:ascii="宋体" w:cs="宋体"/>
                <w:sz w:val="20"/>
              </w:rPr>
            </w:pPr>
          </w:p>
        </w:tc>
        <w:tc>
          <w:tcPr>
            <w:tcW w:w="723" w:type="dxa"/>
            <w:vMerge w:val="continue"/>
            <w:tcBorders>
              <w:tl2br w:val="nil"/>
              <w:tr2bl w:val="nil"/>
            </w:tcBorders>
            <w:noWrap w:val="0"/>
            <w:vAlign w:val="center"/>
          </w:tcPr>
          <w:p w14:paraId="2F7DF647">
            <w:pPr>
              <w:jc w:val="center"/>
              <w:rPr>
                <w:rFonts w:ascii="宋体" w:cs="宋体"/>
                <w:sz w:val="20"/>
              </w:rPr>
            </w:pPr>
          </w:p>
        </w:tc>
        <w:tc>
          <w:tcPr>
            <w:tcW w:w="759" w:type="dxa"/>
            <w:gridSpan w:val="2"/>
            <w:tcBorders>
              <w:tl2br w:val="nil"/>
              <w:tr2bl w:val="nil"/>
            </w:tcBorders>
            <w:noWrap w:val="0"/>
            <w:vAlign w:val="center"/>
          </w:tcPr>
          <w:p w14:paraId="11B32B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B40D892">
            <w:pPr>
              <w:jc w:val="center"/>
              <w:rPr>
                <w:sz w:val="20"/>
                <w:szCs w:val="20"/>
              </w:rPr>
            </w:pPr>
            <w:r>
              <w:rPr>
                <w:rFonts w:hint="eastAsia"/>
                <w:sz w:val="20"/>
                <w:szCs w:val="20"/>
              </w:rPr>
              <w:t>指标1：</w:t>
            </w:r>
            <w:r>
              <w:rPr>
                <w:rFonts w:hint="default"/>
                <w:sz w:val="20"/>
                <w:szCs w:val="20"/>
              </w:rPr>
              <w:t>对全区土地资源管理重大问题，实行集体研究、民主决策，提高了决策的科学性、民主性。</w:t>
            </w:r>
          </w:p>
        </w:tc>
        <w:tc>
          <w:tcPr>
            <w:tcW w:w="4228" w:type="dxa"/>
            <w:gridSpan w:val="2"/>
            <w:tcBorders>
              <w:tl2br w:val="nil"/>
              <w:tr2bl w:val="nil"/>
            </w:tcBorders>
            <w:noWrap w:val="0"/>
            <w:vAlign w:val="center"/>
          </w:tcPr>
          <w:p w14:paraId="30974CCE">
            <w:pPr>
              <w:jc w:val="center"/>
              <w:rPr>
                <w:sz w:val="20"/>
                <w:szCs w:val="20"/>
              </w:rPr>
            </w:pPr>
            <w:r>
              <w:rPr>
                <w:sz w:val="20"/>
                <w:szCs w:val="20"/>
              </w:rPr>
              <w:t>全区土地资源管理重大问题，实行集体研究、民主决策，提高了决策的科学性、民主性。</w:t>
            </w:r>
          </w:p>
        </w:tc>
      </w:tr>
      <w:tr w14:paraId="694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C3262A">
            <w:pPr>
              <w:jc w:val="center"/>
              <w:rPr>
                <w:rFonts w:ascii="宋体" w:cs="宋体"/>
                <w:sz w:val="20"/>
              </w:rPr>
            </w:pPr>
          </w:p>
        </w:tc>
        <w:tc>
          <w:tcPr>
            <w:tcW w:w="723" w:type="dxa"/>
            <w:vMerge w:val="continue"/>
            <w:tcBorders>
              <w:tl2br w:val="nil"/>
              <w:tr2bl w:val="nil"/>
            </w:tcBorders>
            <w:noWrap w:val="0"/>
            <w:vAlign w:val="center"/>
          </w:tcPr>
          <w:p w14:paraId="225F4637">
            <w:pPr>
              <w:jc w:val="center"/>
              <w:rPr>
                <w:rFonts w:ascii="宋体" w:cs="宋体"/>
                <w:sz w:val="20"/>
              </w:rPr>
            </w:pPr>
          </w:p>
        </w:tc>
        <w:tc>
          <w:tcPr>
            <w:tcW w:w="759" w:type="dxa"/>
            <w:gridSpan w:val="2"/>
            <w:tcBorders>
              <w:tl2br w:val="nil"/>
              <w:tr2bl w:val="nil"/>
            </w:tcBorders>
            <w:noWrap w:val="0"/>
            <w:vAlign w:val="center"/>
          </w:tcPr>
          <w:p w14:paraId="2EBC32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30F1599D">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noWrap w:val="0"/>
            <w:vAlign w:val="center"/>
          </w:tcPr>
          <w:p w14:paraId="772FBCA5">
            <w:pPr>
              <w:jc w:val="center"/>
              <w:rPr>
                <w:rFonts w:hint="eastAsia" w:ascii="宋体" w:eastAsia="宋体" w:cs="宋体"/>
                <w:sz w:val="20"/>
                <w:lang w:eastAsia="zh-CN"/>
              </w:rPr>
            </w:pPr>
            <w:r>
              <w:rPr>
                <w:rFonts w:hint="eastAsia" w:ascii="宋体" w:cs="宋体"/>
                <w:sz w:val="20"/>
                <w:lang w:eastAsia="zh-CN"/>
              </w:rPr>
              <w:t>逐步提高</w:t>
            </w:r>
          </w:p>
        </w:tc>
      </w:tr>
      <w:tr w14:paraId="1B44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E4E366F">
            <w:pPr>
              <w:jc w:val="center"/>
              <w:rPr>
                <w:rFonts w:ascii="宋体" w:cs="宋体"/>
                <w:sz w:val="20"/>
              </w:rPr>
            </w:pPr>
          </w:p>
        </w:tc>
        <w:tc>
          <w:tcPr>
            <w:tcW w:w="723" w:type="dxa"/>
            <w:vMerge w:val="continue"/>
            <w:tcBorders>
              <w:tl2br w:val="nil"/>
              <w:tr2bl w:val="nil"/>
            </w:tcBorders>
            <w:noWrap w:val="0"/>
            <w:vAlign w:val="center"/>
          </w:tcPr>
          <w:p w14:paraId="59D9BD20">
            <w:pPr>
              <w:jc w:val="center"/>
              <w:rPr>
                <w:rFonts w:ascii="宋体" w:cs="宋体"/>
                <w:sz w:val="20"/>
              </w:rPr>
            </w:pPr>
          </w:p>
        </w:tc>
        <w:tc>
          <w:tcPr>
            <w:tcW w:w="759" w:type="dxa"/>
            <w:gridSpan w:val="2"/>
            <w:tcBorders>
              <w:tl2br w:val="nil"/>
              <w:tr2bl w:val="nil"/>
            </w:tcBorders>
            <w:noWrap w:val="0"/>
            <w:vAlign w:val="center"/>
          </w:tcPr>
          <w:p w14:paraId="15B815EF">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6A66C887">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noWrap w:val="0"/>
            <w:vAlign w:val="center"/>
          </w:tcPr>
          <w:p w14:paraId="56B73C0D">
            <w:pPr>
              <w:jc w:val="center"/>
              <w:rPr>
                <w:rFonts w:ascii="宋体" w:cs="宋体"/>
                <w:sz w:val="20"/>
              </w:rPr>
            </w:pPr>
            <w:r>
              <w:rPr>
                <w:sz w:val="20"/>
                <w:szCs w:val="20"/>
              </w:rPr>
              <w:t>提高了决策的科学性、民主性</w:t>
            </w:r>
          </w:p>
        </w:tc>
      </w:tr>
      <w:tr w14:paraId="5721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992FEA4">
            <w:pPr>
              <w:jc w:val="center"/>
              <w:rPr>
                <w:rFonts w:ascii="宋体" w:cs="宋体"/>
                <w:sz w:val="20"/>
              </w:rPr>
            </w:pPr>
          </w:p>
        </w:tc>
        <w:tc>
          <w:tcPr>
            <w:tcW w:w="723" w:type="dxa"/>
            <w:tcBorders>
              <w:tl2br w:val="nil"/>
              <w:tr2bl w:val="nil"/>
            </w:tcBorders>
            <w:noWrap w:val="0"/>
            <w:vAlign w:val="center"/>
          </w:tcPr>
          <w:p w14:paraId="13C4475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C45D35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8F7B9F1">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noWrap w:val="0"/>
            <w:vAlign w:val="center"/>
          </w:tcPr>
          <w:p w14:paraId="14428AB9">
            <w:pPr>
              <w:jc w:val="center"/>
              <w:rPr>
                <w:rFonts w:ascii="宋体" w:cs="宋体"/>
                <w:sz w:val="20"/>
              </w:rPr>
            </w:pPr>
            <w:r>
              <w:rPr>
                <w:sz w:val="20"/>
                <w:szCs w:val="20"/>
              </w:rPr>
              <w:t>≥</w:t>
            </w:r>
            <w:r>
              <w:rPr>
                <w:rFonts w:hint="eastAsia"/>
                <w:sz w:val="20"/>
                <w:szCs w:val="20"/>
              </w:rPr>
              <w:t>95%</w:t>
            </w:r>
          </w:p>
        </w:tc>
      </w:tr>
    </w:tbl>
    <w:p w14:paraId="7F73CC02">
      <w:pPr>
        <w:adjustRightInd w:val="0"/>
        <w:snapToGrid w:val="0"/>
        <w:spacing w:line="580" w:lineRule="exact"/>
        <w:ind w:firstLine="643" w:firstLineChars="200"/>
        <w:rPr>
          <w:rFonts w:hint="eastAsia"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（二）机关运行经费。</w:t>
      </w:r>
    </w:p>
    <w:p w14:paraId="5ADA448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7.55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sz w:val="32"/>
          <w:szCs w:val="32"/>
          <w:lang w:eastAsia="zh-CN"/>
        </w:rPr>
        <w:t>与</w:t>
      </w:r>
      <w:r>
        <w:rPr>
          <w:rFonts w:ascii="TimesNewRoman" w:hAnsi="TimesNewRoman" w:eastAsia="仿宋_GB2312" w:cs="TimesNewRoman"/>
          <w:color w:val="auto"/>
          <w:sz w:val="32"/>
          <w:szCs w:val="32"/>
        </w:rPr>
        <w:t>202</w:t>
      </w:r>
      <w:r>
        <w:rPr>
          <w:rFonts w:ascii="TimesNewRoman" w:hAnsi="TimesNewRoman" w:eastAsia="仿宋_GB2312" w:cs="TimesNewRoman"/>
          <w:color w:val="auto"/>
          <w:sz w:val="32"/>
          <w:szCs w:val="32"/>
          <w:lang w:val="en"/>
        </w:rPr>
        <w:t>2</w:t>
      </w:r>
      <w:r>
        <w:rPr>
          <w:rFonts w:ascii="TimesNewRoman" w:hAnsi="TimesNewRoman" w:eastAsia="仿宋_GB2312" w:cs="TimesNewRoman"/>
          <w:color w:val="auto"/>
          <w:sz w:val="32"/>
          <w:szCs w:val="32"/>
        </w:rPr>
        <w:t>年预算</w:t>
      </w:r>
      <w:r>
        <w:rPr>
          <w:rFonts w:hint="eastAsia" w:ascii="TimesNewRoman" w:hAnsi="TimesNewRoman" w:eastAsia="仿宋_GB2312" w:cs="TimesNewRoman"/>
          <w:color w:val="auto"/>
          <w:sz w:val="32"/>
          <w:szCs w:val="32"/>
          <w:lang w:eastAsia="zh-CN"/>
        </w:rPr>
        <w:t>一致</w:t>
      </w:r>
      <w:r>
        <w:rPr>
          <w:rFonts w:hint="eastAsia" w:ascii="TimesNewRoman" w:hAnsi="TimesNewRoman" w:eastAsia="仿宋_GB2312" w:cs="TimesNewRoman"/>
          <w:kern w:val="0"/>
          <w:sz w:val="32"/>
          <w:szCs w:val="32"/>
        </w:rPr>
        <w:t>。</w:t>
      </w:r>
    </w:p>
    <w:p w14:paraId="12BE8E4C">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6E2A7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D6BEA14">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8B2CA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年12月31日，</w:t>
      </w: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527C55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7E6B94C">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（五）绩效目标设置情况。</w:t>
      </w:r>
    </w:p>
    <w:p w14:paraId="215D1639">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2023年，</w:t>
      </w:r>
      <w:r>
        <w:rPr>
          <w:rFonts w:hint="eastAsia" w:ascii="TimesNewRoman" w:hAnsi="TimesNewRoman" w:eastAsia="仿宋_GB2312" w:cs="TimesNewRoman"/>
          <w:color w:val="auto"/>
          <w:sz w:val="32"/>
          <w:szCs w:val="32"/>
        </w:rPr>
        <w:t>淮北市国土资源局开发区分局</w:t>
      </w:r>
      <w:r>
        <w:rPr>
          <w:rFonts w:hint="eastAsia" w:ascii="TimesNewRoman" w:hAnsi="TimesNewRoman" w:eastAsia="仿宋_GB2312" w:cs="TimesNewRoman"/>
          <w:color w:val="auto"/>
          <w:kern w:val="0"/>
          <w:sz w:val="32"/>
          <w:szCs w:val="32"/>
          <w:lang w:val="en-US" w:eastAsia="zh-CN"/>
        </w:rPr>
        <w:t>2</w:t>
      </w:r>
      <w:r>
        <w:rPr>
          <w:rFonts w:hint="eastAsia" w:ascii="TimesNewRoman" w:hAnsi="TimesNewRoman" w:eastAsia="仿宋_GB2312" w:cs="TimesNewRoman"/>
          <w:color w:val="auto"/>
          <w:kern w:val="0"/>
          <w:sz w:val="32"/>
          <w:szCs w:val="32"/>
        </w:rPr>
        <w:t>个项目实行了绩效目标管理，涉及一般公共预算当年财政拨款</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万元、政府性基金预算当年财政拨款</w:t>
      </w:r>
      <w:r>
        <w:rPr>
          <w:rFonts w:hint="eastAsia" w:ascii="TimesNewRoman" w:hAnsi="TimesNewRoman" w:eastAsia="仿宋_GB2312" w:cs="TimesNewRoman"/>
          <w:color w:val="auto"/>
          <w:kern w:val="0"/>
          <w:sz w:val="32"/>
          <w:szCs w:val="32"/>
          <w:lang w:val="en-US" w:eastAsia="zh-CN"/>
        </w:rPr>
        <w:t>22.1</w:t>
      </w:r>
      <w:r>
        <w:rPr>
          <w:rFonts w:hint="eastAsia" w:ascii="TimesNewRoman" w:hAnsi="TimesNewRoman" w:eastAsia="仿宋_GB2312" w:cs="TimesNewRoman"/>
          <w:color w:val="auto"/>
          <w:kern w:val="0"/>
          <w:sz w:val="32"/>
          <w:szCs w:val="32"/>
        </w:rPr>
        <w:t>万元、财政专户管理资金当年安排</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p>
    <w:p w14:paraId="10C7168B">
      <w:pPr>
        <w:rPr>
          <w:color w:val="auto"/>
        </w:rPr>
      </w:pPr>
    </w:p>
    <w:p w14:paraId="30F15C62">
      <w:pPr>
        <w:pStyle w:val="3"/>
        <w:adjustRightInd w:val="0"/>
        <w:snapToGrid w:val="0"/>
        <w:spacing w:line="560" w:lineRule="exact"/>
        <w:jc w:val="center"/>
        <w:rPr>
          <w:rFonts w:hint="eastAsia" w:ascii="TimesNewRoman" w:hAnsi="TimesNewRoman" w:eastAsia="黑体" w:cs="TimesNewRoman"/>
          <w:bCs/>
          <w:sz w:val="36"/>
          <w:szCs w:val="36"/>
        </w:rPr>
      </w:pPr>
    </w:p>
    <w:p w14:paraId="1FF86FA1">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9571557"/>
    <w:p w14:paraId="1DA6494D">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23BB024">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9A74DA3">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三、基本支出：</w:t>
      </w:r>
      <w:r>
        <w:rPr>
          <w:rFonts w:hint="eastAsia" w:ascii="TimesNewRoman" w:hAnsi="TimesNewRoman" w:eastAsia="仿宋_GB2312" w:cs="TimesNewRoman"/>
          <w:sz w:val="32"/>
          <w:szCs w:val="32"/>
        </w:rPr>
        <w:t>指为保障机构正常运转、完成日常工作任务而发生的人员支出和公用支出。</w:t>
      </w:r>
    </w:p>
    <w:p w14:paraId="133B775C">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5BFFDAD4">
      <w:pPr>
        <w:pStyle w:val="3"/>
        <w:adjustRightInd w:val="0"/>
        <w:snapToGrid w:val="0"/>
        <w:spacing w:line="560" w:lineRule="exact"/>
        <w:ind w:firstLine="630" w:firstLineChars="196"/>
      </w:pPr>
      <w:r>
        <w:rPr>
          <w:rFonts w:hint="eastAsia" w:ascii="TimesNewRoman" w:hAnsi="TimesNewRoman" w:eastAsia="仿宋_GB2312" w:cs="TimesNewRoman"/>
          <w:b/>
          <w:sz w:val="32"/>
          <w:szCs w:val="32"/>
          <w:lang w:eastAsia="zh-CN"/>
        </w:rPr>
        <w:t>五</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MzY0OGZmODBjYWM4MjcxZTRiMjcyYTVhNDZjOWEifQ=="/>
  </w:docVars>
  <w:rsids>
    <w:rsidRoot w:val="00E907C4"/>
    <w:rsid w:val="0057562B"/>
    <w:rsid w:val="006546AF"/>
    <w:rsid w:val="008F6D1A"/>
    <w:rsid w:val="009A3CA3"/>
    <w:rsid w:val="00AE3242"/>
    <w:rsid w:val="00E907C4"/>
    <w:rsid w:val="00EC7755"/>
    <w:rsid w:val="03462E5B"/>
    <w:rsid w:val="05D42F07"/>
    <w:rsid w:val="061B1B97"/>
    <w:rsid w:val="063D1930"/>
    <w:rsid w:val="0A5F2195"/>
    <w:rsid w:val="11BA1710"/>
    <w:rsid w:val="141F7BF3"/>
    <w:rsid w:val="1D1B4C21"/>
    <w:rsid w:val="21365E95"/>
    <w:rsid w:val="22487203"/>
    <w:rsid w:val="2A622692"/>
    <w:rsid w:val="2C9627ED"/>
    <w:rsid w:val="3A7131D7"/>
    <w:rsid w:val="3BE253E0"/>
    <w:rsid w:val="3D8D5CF2"/>
    <w:rsid w:val="41CE6B33"/>
    <w:rsid w:val="43523741"/>
    <w:rsid w:val="4A47781A"/>
    <w:rsid w:val="55366A71"/>
    <w:rsid w:val="555C44C5"/>
    <w:rsid w:val="5A7E7CF5"/>
    <w:rsid w:val="5EBA38CD"/>
    <w:rsid w:val="625D4A21"/>
    <w:rsid w:val="64855C0F"/>
    <w:rsid w:val="65682F4D"/>
    <w:rsid w:val="68520D86"/>
    <w:rsid w:val="6EF80BB3"/>
    <w:rsid w:val="72F006B9"/>
    <w:rsid w:val="73322815"/>
    <w:rsid w:val="77970C59"/>
    <w:rsid w:val="78364327"/>
    <w:rsid w:val="7E41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6542</Words>
  <Characters>7291</Characters>
  <Lines>46</Lines>
  <Paragraphs>13</Paragraphs>
  <TotalTime>0</TotalTime>
  <ScaleCrop>false</ScaleCrop>
  <LinksUpToDate>false</LinksUpToDate>
  <CharactersWithSpaces>7469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2024-09-17T03:17:03Z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F42F69F7B89F42CD96BE90A9818A3597</vt:lpwstr>
  </property>
</Properties>
</file>