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淮北市自然资源和规划局相山分局2024年</w:t>
      </w:r>
    </w:p>
    <w:p>
      <w:pPr>
        <w:spacing w:line="560" w:lineRule="exact"/>
        <w:jc w:val="center"/>
        <w:rPr>
          <w:rFonts w:hint="eastAsia" w:ascii="TimesNewRoman" w:hAnsi="TimesNewRoman" w:eastAsia="华文中宋" w:cs="TimesNewRoman"/>
          <w:b/>
          <w:sz w:val="44"/>
          <w:szCs w:val="44"/>
          <w:lang w:eastAsia="zh-CN"/>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8"/>
        <w:adjustRightInd w:val="0"/>
        <w:snapToGrid w:val="0"/>
        <w:spacing w:line="560" w:lineRule="exact"/>
        <w:jc w:val="center"/>
        <w:rPr>
          <w:rFonts w:ascii="TimesNewRoman" w:hAnsi="TimesNewRoman" w:eastAsia="黑体" w:cs="TimesNewRoman"/>
          <w:bCs/>
          <w:sz w:val="44"/>
          <w:szCs w:val="44"/>
        </w:rPr>
      </w:pPr>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2024年2月</w:t>
      </w:r>
    </w:p>
    <w:p/>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1、淮北市自然资源和规划局相山分局2024年收支总表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2、淮北市自然资源和规划局相山分局2024年收入总表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3、淮北市自然资源和规划局相山分局2024年支出总表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4、淮北市自然资源和规划局相山分局2024年财政拨款收支总表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5、淮北市自然资源和规划局相山分局2024年一般公共预算支出表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6、淮北市自然资源和规划局相山分局2024年一般公共预算基本支出表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7、淮北市自然资源和规划局相山分局2024年政府性基金预算支出表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8、淮北市自然资源和规划局相山分局2024年国有资本经营预算支出表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9、淮北市自然资源和规划局相山分局2024年项目支出表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10、淮北市自然资源和规划局相山分局2024年政府采购支出表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11、淮北市自然资源和规划局相山分局2024年政府购买服务支出表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12、淮北市自然资源和规划局相山分局</w:t>
      </w:r>
      <w:r>
        <w:rPr>
          <w:rFonts w:ascii="TimesNewRoman" w:hAnsi="TimesNewRoman" w:eastAsia="仿宋_GB2312" w:cs="TimesNewRoman"/>
          <w:bCs/>
          <w:sz w:val="32"/>
          <w:szCs w:val="32"/>
        </w:rPr>
        <w:t>2024年通用资产配置支出表</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1、淮北市自然资源和规划局相山分局2024年</w:t>
      </w:r>
      <w:r>
        <w:rPr>
          <w:rFonts w:hint="eastAsia" w:ascii="TimesNewRoman" w:hAnsi="TimesNewRoman" w:eastAsia="仿宋_GB2312" w:cs="TimesNewRoman"/>
          <w:bCs/>
          <w:sz w:val="32"/>
          <w:szCs w:val="32"/>
          <w:lang w:eastAsia="zh-CN"/>
        </w:rPr>
        <w:t>部门</w:t>
      </w:r>
      <w:r>
        <w:rPr>
          <w:rFonts w:hint="eastAsia" w:ascii="TimesNewRoman" w:hAnsi="TimesNewRoman" w:eastAsia="仿宋_GB2312" w:cs="TimesNewRoman"/>
          <w:bCs/>
          <w:sz w:val="32"/>
          <w:szCs w:val="32"/>
        </w:rPr>
        <w:t>预算纳入绩效考评项目表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2、淮北市自然资源和规划局相山分局2024年</w:t>
      </w:r>
      <w:r>
        <w:rPr>
          <w:rFonts w:hint="eastAsia" w:ascii="TimesNewRoman" w:hAnsi="TimesNewRoman" w:eastAsia="仿宋_GB2312" w:cs="TimesNewRoman"/>
          <w:bCs/>
          <w:sz w:val="32"/>
          <w:szCs w:val="32"/>
          <w:lang w:eastAsia="zh-CN"/>
        </w:rPr>
        <w:t>部门</w:t>
      </w:r>
      <w:r>
        <w:rPr>
          <w:rFonts w:hint="eastAsia" w:ascii="TimesNewRoman" w:hAnsi="TimesNewRoman" w:eastAsia="仿宋_GB2312" w:cs="TimesNewRoman"/>
          <w:bCs/>
          <w:sz w:val="32"/>
          <w:szCs w:val="32"/>
        </w:rPr>
        <w:t>预算专项资金管理清单（专栏公开）</w:t>
      </w:r>
    </w:p>
    <w:p>
      <w:pPr>
        <w:pStyle w:val="8"/>
        <w:adjustRightInd w:val="0"/>
        <w:snapToGrid w:val="0"/>
        <w:spacing w:line="400" w:lineRule="exact"/>
        <w:ind w:firstLine="800" w:firstLineChars="250"/>
        <w:rPr>
          <w:rFonts w:ascii="TimesNewRoman" w:hAnsi="TimesNewRoman" w:eastAsia="仿宋_GB2312" w:cs="TimesNewRoman"/>
          <w:bCs/>
          <w:sz w:val="32"/>
          <w:szCs w:val="32"/>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w:t>
      </w:r>
      <w:r>
        <w:rPr>
          <w:rFonts w:hint="eastAsia" w:ascii="TimesNewRoman" w:hAnsi="TimesNewRoman" w:eastAsia="黑体" w:cs="TimesNewRoman"/>
          <w:bCs/>
          <w:sz w:val="36"/>
          <w:szCs w:val="36"/>
          <w:lang w:val="en-US" w:eastAsia="zh-CN"/>
        </w:rPr>
        <w:t xml:space="preserve">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根据《中共安徽省委办公厅、安徽省人民政府办公厅关于〈淮北市机构改革方案〉的通知》（厅〔2019〕2号）和《中共淮北市委、淮北市人民政府关于市级机构改革的实施意见》（淮发〔2019〕2号），制定本规定</w:t>
      </w:r>
      <w:r>
        <w:rPr>
          <w:rFonts w:hint="eastAsia" w:ascii="仿宋_GB2312" w:hAnsi="仿宋" w:eastAsia="仿宋_GB2312" w:cs="宋体"/>
          <w:kern w:val="0"/>
          <w:sz w:val="32"/>
          <w:szCs w:val="32"/>
        </w:rPr>
        <w:t>，淮北市自然资源和规划局相山分局主要职责是：</w:t>
      </w:r>
    </w:p>
    <w:p>
      <w:pPr>
        <w:spacing w:line="560" w:lineRule="exact"/>
        <w:ind w:firstLine="480" w:firstLineChars="150"/>
        <w:rPr>
          <w:rFonts w:ascii="仿宋_GB2312" w:hAnsi="仿宋" w:eastAsia="仿宋_GB2312" w:cs="宋体"/>
          <w:kern w:val="0"/>
          <w:sz w:val="32"/>
          <w:szCs w:val="32"/>
        </w:rPr>
      </w:pPr>
      <w:r>
        <w:rPr>
          <w:rFonts w:hint="eastAsia" w:ascii="仿宋_GB2312" w:hAnsi="仿宋" w:eastAsia="仿宋_GB2312" w:cs="宋体"/>
          <w:kern w:val="0"/>
          <w:sz w:val="32"/>
          <w:szCs w:val="32"/>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（四）负责测绘地理信息管理工作。负责基础测绘和测绘行业管理。负责测绘资质资格与信用管理，监督管理国家地理信息安全和市场秩序。负责地理信息公共服务管理。负责测量标志保护。</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（十）组织编制历史文化名城、名镇、名村工作。承担历史文化街区、历史建筑的普查、报批工作。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二）负责落实综合防灾减灾规划相关要求，组织编制地质灾害防治规划,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（十五）负责矿产资源管理工作。负责矿产资源储量管理及压覆矿产资源审批。负责矿业权管理。会同有关部门承担保护性开采的特定矿种、优势矿产的调控及相关管理工作。监督指导矿产资源合理利用和保护。</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（十六）查处自然资源开发利用和国土空间规划及测绘重大违法案件。指导濉溪县有关行政执法工作。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（十七）统一领导和管理市林业局。</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（十八）完成市委、市政府交办的其他任务。</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属地管理、分级负责，谁主管、谁负责”的原则，督促相关部门对建材、墙材企业（砖瓦窑厂）生产经营行为进行日常核查与监管，做好污染防治工作。</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淮北市自然资源和规划局相山分局</w:t>
      </w:r>
      <w:r>
        <w:rPr>
          <w:rFonts w:hint="eastAsia" w:ascii="TimesNewRoman" w:hAnsi="TimesNewRoman" w:eastAsia="仿宋_GB2312" w:cs="TimesNewRoman"/>
          <w:sz w:val="32"/>
          <w:szCs w:val="32"/>
        </w:rPr>
        <w:t>2024年度部门预算包括局本级预算和局下属单位预算，纳入部门预算编制范围的预算单位共1个，具体情况见下表。</w:t>
      </w:r>
    </w:p>
    <w:tbl>
      <w:tblPr>
        <w:tblStyle w:val="10"/>
        <w:tblW w:w="8540" w:type="dxa"/>
        <w:jc w:val="center"/>
        <w:tblLayout w:type="fixed"/>
        <w:tblCellMar>
          <w:top w:w="0" w:type="dxa"/>
          <w:left w:w="0" w:type="dxa"/>
          <w:bottom w:w="0" w:type="dxa"/>
          <w:right w:w="0" w:type="dxa"/>
        </w:tblCellMar>
      </w:tblPr>
      <w:tblGrid>
        <w:gridCol w:w="712"/>
        <w:gridCol w:w="3840"/>
        <w:gridCol w:w="3988"/>
      </w:tblGrid>
      <w:tr>
        <w:tblPrEx>
          <w:tblCellMar>
            <w:top w:w="0" w:type="dxa"/>
            <w:left w:w="0" w:type="dxa"/>
            <w:bottom w:w="0" w:type="dxa"/>
            <w:right w:w="0" w:type="dxa"/>
          </w:tblCellMar>
        </w:tblPrEx>
        <w:trPr>
          <w:trHeight w:val="579" w:hRule="atLeast"/>
          <w:jc w:val="center"/>
        </w:trPr>
        <w:tc>
          <w:tcPr>
            <w:tcW w:w="7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8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3988"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淮北市自然资源和规划局相山分局</w:t>
            </w:r>
          </w:p>
        </w:tc>
        <w:tc>
          <w:tcPr>
            <w:tcW w:w="3988"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bl>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pStyle w:val="8"/>
        <w:shd w:val="clear" w:color="auto" w:fill="FFFFFF"/>
        <w:spacing w:before="0" w:beforeAutospacing="0" w:after="0" w:afterAutospacing="0" w:line="560" w:lineRule="exact"/>
        <w:ind w:firstLine="630" w:firstLineChars="196"/>
        <w:jc w:val="both"/>
        <w:rPr>
          <w:rFonts w:ascii="仿宋" w:hAnsi="仿宋" w:eastAsia="仿宋" w:cs="仿宋"/>
          <w:sz w:val="32"/>
          <w:szCs w:val="32"/>
        </w:rPr>
      </w:pPr>
      <w:r>
        <w:rPr>
          <w:rFonts w:hint="eastAsia" w:ascii="仿宋" w:hAnsi="仿宋" w:eastAsia="仿宋" w:cs="仿宋"/>
          <w:b/>
          <w:sz w:val="32"/>
          <w:szCs w:val="32"/>
        </w:rPr>
        <w:t>（一）深入推进党的建设。</w:t>
      </w:r>
      <w:r>
        <w:rPr>
          <w:rFonts w:hint="eastAsia" w:ascii="仿宋" w:hAnsi="仿宋" w:eastAsia="仿宋" w:cs="仿宋"/>
          <w:sz w:val="32"/>
          <w:szCs w:val="32"/>
        </w:rPr>
        <w:t>分局将进一步加强干部队伍建设，以党建为引领，抓好党风党纪和廉洁从政教育，坚持把学习好、宣传好、贯彻好、落实好党的二十大精神作为重要任务，以大会精神武装头脑、指引工作、鼓舞士气，以报告中提出的推进建设美丽中国，推动绿色发展，促进人与自然和谐共生等内容指导全区自然资源和规划工作，及时把学习成果转化为推动工作高质量发展的强大动力,紧紧围绕省、市、市局党委领导讲话精神和要求，积极抓好各方面的工作,不断开创全区自然资源事业发展新局面。</w:t>
      </w:r>
    </w:p>
    <w:p>
      <w:pPr>
        <w:overflowPunct w:val="0"/>
        <w:topLinePunct/>
        <w:adjustRightInd w:val="0"/>
        <w:snapToGrid w:val="0"/>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sz w:val="32"/>
          <w:szCs w:val="32"/>
        </w:rPr>
        <w:t>（二）确保项目用地保发展</w:t>
      </w:r>
      <w:r>
        <w:rPr>
          <w:rFonts w:hint="eastAsia" w:ascii="仿宋" w:hAnsi="仿宋" w:eastAsia="仿宋" w:cs="仿宋"/>
          <w:sz w:val="32"/>
          <w:szCs w:val="32"/>
        </w:rPr>
        <w:t>。</w:t>
      </w:r>
      <w:r>
        <w:rPr>
          <w:rFonts w:hint="eastAsia" w:ascii="仿宋" w:hAnsi="仿宋" w:eastAsia="仿宋" w:cs="仿宋"/>
          <w:kern w:val="0"/>
          <w:sz w:val="32"/>
          <w:szCs w:val="32"/>
        </w:rPr>
        <w:t>当前，相山区正处于高质量发展的关键时期，城市发展空间逐步扩展，加快规划项目用地报批，凸显自然资源和规划局在区域协调发展的重要作用。</w:t>
      </w:r>
      <w:r>
        <w:rPr>
          <w:rFonts w:hint="eastAsia" w:ascii="仿宋" w:hAnsi="仿宋" w:eastAsia="仿宋" w:cs="仿宋"/>
          <w:b/>
          <w:sz w:val="32"/>
          <w:szCs w:val="32"/>
        </w:rPr>
        <w:t>一是</w:t>
      </w:r>
      <w:r>
        <w:rPr>
          <w:rFonts w:hint="eastAsia" w:ascii="仿宋" w:hAnsi="仿宋" w:eastAsia="仿宋" w:cs="仿宋"/>
          <w:sz w:val="32"/>
          <w:szCs w:val="32"/>
        </w:rPr>
        <w:t>结合相山区重点发展方向发展区域，摸清2024年用地需求。紧紧围绕</w:t>
      </w:r>
      <w:r>
        <w:rPr>
          <w:rFonts w:hint="eastAsia" w:ascii="仿宋" w:hAnsi="仿宋" w:eastAsia="仿宋" w:cs="仿宋"/>
          <w:bCs/>
          <w:sz w:val="32"/>
          <w:szCs w:val="32"/>
        </w:rPr>
        <w:t>推动西部片区开发，</w:t>
      </w:r>
      <w:r>
        <w:rPr>
          <w:rFonts w:hint="eastAsia" w:ascii="仿宋" w:hAnsi="仿宋" w:eastAsia="仿宋" w:cs="仿宋"/>
          <w:sz w:val="32"/>
          <w:szCs w:val="32"/>
        </w:rPr>
        <w:t>推动凤凰新区基础设施、产业体系、公共服务更加完善，加速推动新城崛起的目标，超前谋划区域重点项目用地，做好建设用地组件报批工作。同时积极完成已申报至省政府待批准的报件跟踪工作，对已经省政府批准的用地项目，配合区其他相关部门及时完成供应前的征收、补偿等工作，促进项目尽早开工建设,减少批而未供总量,保障相山区发展用地。</w:t>
      </w:r>
      <w:r>
        <w:rPr>
          <w:rFonts w:hint="eastAsia" w:ascii="仿宋" w:hAnsi="仿宋" w:eastAsia="仿宋" w:cs="仿宋"/>
          <w:b/>
          <w:sz w:val="32"/>
          <w:szCs w:val="32"/>
        </w:rPr>
        <w:t>二是</w:t>
      </w:r>
      <w:r>
        <w:rPr>
          <w:rFonts w:hint="eastAsia" w:ascii="仿宋" w:hAnsi="仿宋" w:eastAsia="仿宋" w:cs="仿宋"/>
          <w:color w:val="000000"/>
          <w:sz w:val="32"/>
          <w:szCs w:val="32"/>
        </w:rPr>
        <w:t>加快推进渠沟镇级国土空间总体规划审批，按照市局统筹安排应编尽编原则，做好“多规合一”实用性村庄规划编制。加快成片开发方案编制，有序编制开发区、凤凰新区新城等重点片区成片开发方案。</w:t>
      </w:r>
      <w:r>
        <w:rPr>
          <w:rFonts w:hint="eastAsia" w:ascii="仿宋" w:hAnsi="仿宋" w:eastAsia="仿宋" w:cs="仿宋"/>
          <w:b/>
          <w:bCs/>
          <w:color w:val="000000"/>
          <w:sz w:val="32"/>
          <w:szCs w:val="32"/>
        </w:rPr>
        <w:t>三是</w:t>
      </w:r>
      <w:r>
        <w:rPr>
          <w:rFonts w:hint="eastAsia" w:ascii="仿宋" w:hAnsi="仿宋" w:eastAsia="仿宋" w:cs="仿宋"/>
          <w:color w:val="000000" w:themeColor="text1"/>
          <w:kern w:val="0"/>
          <w:sz w:val="32"/>
          <w:szCs w:val="32"/>
        </w:rPr>
        <w:t>推进土地节约集约利用，扎实开展批而未供和闲置土地处置工作。用好用足“增存挂钩”政策措施。对已批土地，加快征收、供应；对无法使用的土地，及时撤回批文；加强已供土地巡查，防止土地闲置和浪费，为相山区经济社会高质量发展提供坚强的土地要素保障。</w:t>
      </w:r>
    </w:p>
    <w:p>
      <w:pPr>
        <w:spacing w:line="560" w:lineRule="exact"/>
        <w:ind w:firstLine="321" w:firstLineChars="100"/>
        <w:jc w:val="left"/>
        <w:rPr>
          <w:rFonts w:ascii="仿宋" w:hAnsi="仿宋" w:eastAsia="仿宋" w:cs="仿宋"/>
          <w:sz w:val="32"/>
          <w:szCs w:val="32"/>
        </w:rPr>
      </w:pPr>
      <w:r>
        <w:rPr>
          <w:rFonts w:hint="eastAsia" w:ascii="仿宋" w:hAnsi="仿宋" w:eastAsia="仿宋" w:cs="仿宋"/>
          <w:b/>
          <w:sz w:val="32"/>
          <w:szCs w:val="32"/>
        </w:rPr>
        <w:t>（三）不断强化措施保资源</w:t>
      </w:r>
      <w:r>
        <w:rPr>
          <w:rFonts w:hint="eastAsia" w:ascii="仿宋" w:hAnsi="仿宋" w:eastAsia="仿宋" w:cs="仿宋"/>
          <w:sz w:val="32"/>
          <w:szCs w:val="32"/>
        </w:rPr>
        <w:t>。在保护资源上，重点是保护耕地与基本农田,坚持落实最严格的耕地保护制度和节约集约用地制度，推动自然资源高效利用。</w:t>
      </w:r>
      <w:r>
        <w:rPr>
          <w:rFonts w:hint="eastAsia" w:ascii="仿宋" w:hAnsi="仿宋" w:eastAsia="仿宋" w:cs="仿宋"/>
          <w:b/>
          <w:sz w:val="32"/>
          <w:szCs w:val="32"/>
        </w:rPr>
        <w:t>一是</w:t>
      </w:r>
      <w:r>
        <w:rPr>
          <w:rFonts w:hint="eastAsia" w:ascii="仿宋" w:hAnsi="仿宋" w:eastAsia="仿宋" w:cs="仿宋"/>
          <w:sz w:val="32"/>
          <w:szCs w:val="32"/>
        </w:rPr>
        <w:t>加大基层宣传力度和巡查力度，对耕地“非粮化”和“非农化”行为，早发现、早报告、早制止，保护耕地，保障发展。</w:t>
      </w:r>
      <w:r>
        <w:rPr>
          <w:rFonts w:hint="eastAsia" w:ascii="仿宋" w:hAnsi="仿宋" w:eastAsia="仿宋" w:cs="仿宋"/>
          <w:b/>
          <w:sz w:val="32"/>
          <w:szCs w:val="32"/>
        </w:rPr>
        <w:t>二是</w:t>
      </w:r>
      <w:r>
        <w:rPr>
          <w:rFonts w:hint="eastAsia" w:ascii="仿宋" w:hAnsi="仿宋" w:eastAsia="仿宋" w:cs="仿宋"/>
          <w:sz w:val="32"/>
          <w:szCs w:val="32"/>
        </w:rPr>
        <w:t>配合渠沟镇完成补充耕地复垦工作，同时做好补充耕地项目的验收、备案、上图入库，保障2024年建设占用耕地的占补平衡指标落实。</w:t>
      </w:r>
      <w:r>
        <w:rPr>
          <w:rFonts w:hint="eastAsia" w:ascii="仿宋" w:hAnsi="仿宋" w:eastAsia="仿宋" w:cs="仿宋"/>
          <w:b/>
          <w:sz w:val="32"/>
          <w:szCs w:val="32"/>
        </w:rPr>
        <w:t>三是</w:t>
      </w:r>
      <w:r>
        <w:rPr>
          <w:rFonts w:hint="eastAsia" w:ascii="仿宋" w:hAnsi="仿宋" w:eastAsia="仿宋" w:cs="仿宋"/>
          <w:sz w:val="32"/>
          <w:szCs w:val="32"/>
        </w:rPr>
        <w:t>做好相山区2024年耕地“进出平衡”方案省级备案工作，同时根据最新变更调查成果，谋划2024年“耕地进出”平衡方案的编制工作，保障发展。摸清渠沟镇2024年计划实施的设施农业用地项目，在不占用永久基本农田的前提下，根据2023年土地变更调查数据，编制2024年耕地“进出平衡”方案，确保设施农业用地合法化，落实耕地进出平衡。</w:t>
      </w:r>
      <w:r>
        <w:rPr>
          <w:rFonts w:hint="eastAsia" w:ascii="仿宋" w:hAnsi="仿宋" w:eastAsia="仿宋" w:cs="仿宋"/>
          <w:b/>
          <w:sz w:val="32"/>
          <w:szCs w:val="32"/>
        </w:rPr>
        <w:t>四是</w:t>
      </w:r>
      <w:r>
        <w:rPr>
          <w:rFonts w:hint="eastAsia" w:ascii="仿宋" w:hAnsi="仿宋" w:eastAsia="仿宋" w:cs="仿宋"/>
          <w:sz w:val="32"/>
          <w:szCs w:val="32"/>
        </w:rPr>
        <w:t>充分发挥卫片执法工作在保护耕地、保护资源、维护自然资源开发利用秩序中的重要作用，全面做好卫片执法工作，争取年度卫片区政府不被约谈和问责。</w:t>
      </w:r>
      <w:r>
        <w:rPr>
          <w:rFonts w:hint="eastAsia" w:ascii="仿宋" w:hAnsi="仿宋" w:eastAsia="仿宋" w:cs="仿宋"/>
          <w:b/>
          <w:sz w:val="32"/>
          <w:szCs w:val="32"/>
        </w:rPr>
        <w:t>五是</w:t>
      </w:r>
      <w:r>
        <w:rPr>
          <w:rFonts w:hint="eastAsia" w:ascii="仿宋" w:hAnsi="仿宋" w:eastAsia="仿宋" w:cs="仿宋"/>
          <w:kern w:val="0"/>
          <w:sz w:val="32"/>
          <w:szCs w:val="32"/>
        </w:rPr>
        <w:t>开展好</w:t>
      </w:r>
      <w:r>
        <w:rPr>
          <w:rFonts w:hint="eastAsia" w:ascii="仿宋" w:hAnsi="仿宋" w:eastAsia="仿宋" w:cs="仿宋"/>
          <w:sz w:val="32"/>
          <w:szCs w:val="32"/>
        </w:rPr>
        <w:t>废弃矿山的生态修复工作</w:t>
      </w:r>
      <w:r>
        <w:rPr>
          <w:rFonts w:hint="eastAsia" w:ascii="仿宋" w:hAnsi="仿宋" w:eastAsia="仿宋" w:cs="仿宋"/>
          <w:kern w:val="0"/>
          <w:sz w:val="32"/>
          <w:szCs w:val="32"/>
        </w:rPr>
        <w:t>，继续</w:t>
      </w:r>
      <w:r>
        <w:rPr>
          <w:rFonts w:hint="eastAsia" w:ascii="仿宋" w:hAnsi="仿宋" w:eastAsia="仿宋" w:cs="仿宋"/>
          <w:sz w:val="32"/>
          <w:szCs w:val="32"/>
        </w:rPr>
        <w:t>对淮北市黄里社区东山石料厂、淮北市黄里社区后山采石厂、淮北市后黄顺发石料厂</w:t>
      </w:r>
      <w:r>
        <w:rPr>
          <w:rFonts w:hint="eastAsia" w:ascii="仿宋" w:hAnsi="仿宋" w:eastAsia="仿宋" w:cs="仿宋"/>
          <w:kern w:val="0"/>
          <w:sz w:val="32"/>
          <w:szCs w:val="32"/>
        </w:rPr>
        <w:t>3个废弃石场</w:t>
      </w:r>
      <w:r>
        <w:rPr>
          <w:rFonts w:hint="eastAsia" w:ascii="仿宋" w:hAnsi="仿宋" w:eastAsia="仿宋" w:cs="仿宋"/>
          <w:sz w:val="32"/>
          <w:szCs w:val="32"/>
        </w:rPr>
        <w:t>进行矿山修复治理，并</w:t>
      </w:r>
      <w:r>
        <w:rPr>
          <w:rFonts w:hint="eastAsia" w:ascii="仿宋" w:hAnsi="仿宋" w:eastAsia="仿宋" w:cs="仿宋"/>
          <w:kern w:val="0"/>
          <w:sz w:val="32"/>
          <w:szCs w:val="32"/>
        </w:rPr>
        <w:t>在2024年内实施并完成验收。</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（四）夯实基础业务强管理。一是</w:t>
      </w:r>
      <w:r>
        <w:rPr>
          <w:rFonts w:hint="eastAsia" w:ascii="仿宋" w:hAnsi="仿宋" w:eastAsia="仿宋" w:cs="仿宋"/>
          <w:sz w:val="32"/>
          <w:szCs w:val="32"/>
        </w:rPr>
        <w:t>继续推动农村房地一体登记工作，2024年6月完成发证工作，确保应发尽发。</w:t>
      </w:r>
      <w:r>
        <w:rPr>
          <w:rFonts w:hint="eastAsia" w:ascii="仿宋" w:hAnsi="仿宋" w:eastAsia="仿宋" w:cs="仿宋"/>
          <w:b/>
          <w:sz w:val="32"/>
          <w:szCs w:val="32"/>
        </w:rPr>
        <w:t>二是</w:t>
      </w:r>
      <w:r>
        <w:rPr>
          <w:rFonts w:hint="eastAsia" w:ascii="仿宋" w:hAnsi="仿宋" w:eastAsia="仿宋" w:cs="仿宋"/>
          <w:sz w:val="32"/>
          <w:szCs w:val="32"/>
        </w:rPr>
        <w:t>按照省自然资源厅计划，推动按时完成2023年度国土变更调查工作。</w:t>
      </w:r>
      <w:r>
        <w:rPr>
          <w:rFonts w:hint="eastAsia" w:ascii="仿宋" w:hAnsi="仿宋" w:eastAsia="仿宋" w:cs="仿宋"/>
          <w:b/>
          <w:sz w:val="32"/>
          <w:szCs w:val="32"/>
        </w:rPr>
        <w:t>三是</w:t>
      </w:r>
      <w:r>
        <w:rPr>
          <w:rFonts w:hint="eastAsia" w:ascii="仿宋" w:hAnsi="仿宋" w:eastAsia="仿宋" w:cs="仿宋"/>
          <w:sz w:val="32"/>
          <w:szCs w:val="32"/>
        </w:rPr>
        <w:t>严格实行“净地”储备审查，建立“让前必储”的工作机制。科学制定土地出让年度计划，切实做好2024年拟收储和出让地块前期工作,确保完成下达任务。</w:t>
      </w:r>
    </w:p>
    <w:p>
      <w:pPr>
        <w:tabs>
          <w:tab w:val="left" w:pos="636"/>
        </w:tabs>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（五）依法维护利益促稳定。</w:t>
      </w:r>
      <w:r>
        <w:rPr>
          <w:rFonts w:hint="eastAsia" w:ascii="仿宋" w:hAnsi="仿宋" w:eastAsia="仿宋" w:cs="仿宋"/>
          <w:sz w:val="32"/>
          <w:szCs w:val="32"/>
        </w:rPr>
        <w:t>严格落实信访工作责任制，认真做好自然资源信访排查，积极参与领导干部接访日活动，争取把问题解决在基层、消化在萌芽状态，确保信访事项复查复核结案率达到100%，切实维护社会稳定。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（六）继续聚焦林业建设</w:t>
      </w:r>
      <w:r>
        <w:rPr>
          <w:rStyle w:val="17"/>
          <w:rFonts w:hint="eastAsia" w:ascii="仿宋" w:hAnsi="仿宋" w:eastAsia="仿宋" w:cs="仿宋"/>
          <w:b/>
          <w:bCs/>
          <w:color w:val="333333"/>
          <w:sz w:val="32"/>
          <w:szCs w:val="32"/>
        </w:rPr>
        <w:t>。</w:t>
      </w:r>
      <w:r>
        <w:rPr>
          <w:rFonts w:hint="eastAsia" w:ascii="仿宋" w:hAnsi="仿宋" w:eastAsia="仿宋" w:cs="仿宋"/>
          <w:kern w:val="0"/>
          <w:sz w:val="32"/>
          <w:szCs w:val="32"/>
        </w:rPr>
        <w:t>立足自然资源部门职能职责，抓好林业各项工作，不断优化造林空间布局，实现林业工作健康可持续发展。着力提升林业系统碳汇能力，谋划设立区级林业碳汇基金；继续坚持执法体系建设，严厉打击破坏野生动植物资源的违法犯罪活动；积极推动森林生态旅游产业发展，切实把绿水青山转化为金山银山，真正实现人与自然和谐共生。</w:t>
      </w:r>
      <w:r>
        <w:rPr>
          <w:rFonts w:hint="eastAsia" w:ascii="仿宋" w:hAnsi="仿宋" w:eastAsia="仿宋" w:cs="仿宋"/>
          <w:sz w:val="32"/>
          <w:szCs w:val="32"/>
        </w:rPr>
        <w:t>持之以恒深化林长制改革，</w:t>
      </w:r>
      <w:r>
        <w:rPr>
          <w:rStyle w:val="16"/>
          <w:rFonts w:hint="eastAsia" w:ascii="仿宋" w:hAnsi="仿宋" w:eastAsia="仿宋" w:cs="仿宋"/>
          <w:b/>
          <w:sz w:val="32"/>
          <w:szCs w:val="32"/>
        </w:rPr>
        <w:t>一是</w:t>
      </w:r>
      <w:r>
        <w:rPr>
          <w:rStyle w:val="16"/>
          <w:rFonts w:hint="eastAsia" w:ascii="仿宋" w:hAnsi="仿宋" w:eastAsia="仿宋" w:cs="仿宋"/>
          <w:sz w:val="32"/>
          <w:szCs w:val="32"/>
        </w:rPr>
        <w:t>加强林业布局规划,</w:t>
      </w:r>
      <w:r>
        <w:rPr>
          <w:rFonts w:hint="eastAsia" w:ascii="仿宋" w:hAnsi="仿宋" w:eastAsia="仿宋" w:cs="仿宋"/>
          <w:sz w:val="32"/>
          <w:szCs w:val="32"/>
        </w:rPr>
        <w:t>规范辖区道路、河流造林标准。</w:t>
      </w:r>
      <w:r>
        <w:rPr>
          <w:rStyle w:val="16"/>
          <w:rFonts w:hint="eastAsia" w:ascii="仿宋" w:hAnsi="仿宋" w:eastAsia="仿宋" w:cs="仿宋"/>
          <w:b/>
          <w:sz w:val="32"/>
          <w:szCs w:val="32"/>
        </w:rPr>
        <w:t>二是</w:t>
      </w:r>
      <w:r>
        <w:rPr>
          <w:rStyle w:val="16"/>
          <w:rFonts w:hint="eastAsia" w:ascii="仿宋" w:hAnsi="仿宋" w:eastAsia="仿宋" w:cs="仿宋"/>
          <w:sz w:val="32"/>
          <w:szCs w:val="32"/>
        </w:rPr>
        <w:t>加强增绿护林力度，</w:t>
      </w:r>
      <w:r>
        <w:rPr>
          <w:rFonts w:hint="eastAsia" w:ascii="仿宋" w:hAnsi="仿宋" w:eastAsia="仿宋" w:cs="仿宋"/>
          <w:sz w:val="32"/>
          <w:szCs w:val="32"/>
        </w:rPr>
        <w:t>立足做好国土绿化造林工作，健全森林防火责任体系，确保不发生森林火灾。</w:t>
      </w:r>
      <w:r>
        <w:rPr>
          <w:rStyle w:val="16"/>
          <w:rFonts w:hint="eastAsia" w:ascii="仿宋" w:hAnsi="仿宋" w:eastAsia="仿宋" w:cs="仿宋"/>
          <w:b/>
          <w:sz w:val="32"/>
          <w:szCs w:val="32"/>
        </w:rPr>
        <w:t>三是</w:t>
      </w:r>
      <w:r>
        <w:rPr>
          <w:rStyle w:val="16"/>
          <w:rFonts w:hint="eastAsia" w:ascii="仿宋" w:hAnsi="仿宋" w:eastAsia="仿宋" w:cs="仿宋"/>
          <w:sz w:val="32"/>
          <w:szCs w:val="32"/>
        </w:rPr>
        <w:t>加强森林资源管理，</w:t>
      </w:r>
      <w:r>
        <w:rPr>
          <w:rFonts w:hint="eastAsia" w:ascii="仿宋" w:hAnsi="仿宋" w:eastAsia="仿宋" w:cs="仿宋"/>
          <w:sz w:val="32"/>
          <w:szCs w:val="32"/>
        </w:rPr>
        <w:t>实现用“一张图”管林、推行各级林长“一张图”监督，有效遏制涉林违法行为。</w:t>
      </w:r>
      <w:r>
        <w:rPr>
          <w:rStyle w:val="16"/>
          <w:rFonts w:hint="eastAsia" w:ascii="仿宋" w:hAnsi="仿宋" w:eastAsia="仿宋" w:cs="仿宋"/>
          <w:b/>
          <w:sz w:val="32"/>
          <w:szCs w:val="32"/>
        </w:rPr>
        <w:t>四是</w:t>
      </w:r>
      <w:r>
        <w:rPr>
          <w:rStyle w:val="16"/>
          <w:rFonts w:hint="eastAsia" w:ascii="仿宋" w:hAnsi="仿宋" w:eastAsia="仿宋" w:cs="仿宋"/>
          <w:sz w:val="32"/>
          <w:szCs w:val="32"/>
        </w:rPr>
        <w:t>加强责任促落实。落实镇、涉林街道林业站挂牌要求，完</w:t>
      </w:r>
      <w:r>
        <w:rPr>
          <w:rFonts w:hint="eastAsia" w:ascii="仿宋" w:hAnsi="仿宋" w:eastAsia="仿宋" w:cs="仿宋"/>
          <w:sz w:val="32"/>
          <w:szCs w:val="32"/>
        </w:rPr>
        <w:t>善区、镇（街、开发区）、村（社区）三级林长机制。</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8"/>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自然资源和规划局相山分局所有收入和支出均纳入部门预算管理。淮北市自然资源和规划局相山分局2024年收支总预算590.42万元，收入包括一般公共预算拨款收入、政府性基金预算拨款收入，支出包括：社会保障和就业支出、卫生健康支出、</w:t>
      </w:r>
      <w:r>
        <w:rPr>
          <w:rFonts w:hint="eastAsia" w:ascii="仿宋_GB2312" w:hAnsi="仿宋" w:eastAsia="仿宋_GB2312"/>
          <w:sz w:val="32"/>
          <w:szCs w:val="32"/>
        </w:rPr>
        <w:t>城乡社区支出、自然资源海洋气象等支出、</w:t>
      </w:r>
      <w:r>
        <w:rPr>
          <w:rFonts w:hint="eastAsia" w:ascii="TimesNewRoman" w:hAnsi="TimesNewRoman" w:eastAsia="仿宋_GB2312" w:cs="TimesNewRoman"/>
          <w:sz w:val="32"/>
          <w:szCs w:val="32"/>
        </w:rPr>
        <w:t>住房保障支出、粮油物资储备支出。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淮北市自然资源和规划局相山分局2024年收入预算590.42万元，其中，本年收入590.42万元。</w:t>
      </w:r>
    </w:p>
    <w:p>
      <w:pPr>
        <w:ind w:firstLine="643" w:firstLineChars="200"/>
        <w:rPr>
          <w:rFonts w:ascii="TimesNewRoman" w:hAnsi="TimesNewRoman" w:eastAsia="仿宋_GB2312" w:cs="TimesNewRoman"/>
          <w:kern w:val="0"/>
          <w:sz w:val="32"/>
          <w:szCs w:val="32"/>
          <w:highlight w:val="red"/>
        </w:rPr>
      </w:pPr>
      <w:r>
        <w:rPr>
          <w:rFonts w:hint="eastAsia" w:ascii="TimesNewRoman" w:hAnsi="TimesNewRoman" w:eastAsia="仿宋_GB2312" w:cs="TimesNewRoman"/>
          <w:b/>
          <w:kern w:val="0"/>
          <w:sz w:val="32"/>
          <w:szCs w:val="32"/>
        </w:rPr>
        <w:t>（一）本年收入590.42万元，</w:t>
      </w:r>
      <w:r>
        <w:rPr>
          <w:rFonts w:hint="eastAsia" w:ascii="TimesNewRoman" w:hAnsi="TimesNewRoman" w:eastAsia="仿宋_GB2312" w:cs="TimesNewRoman"/>
          <w:kern w:val="0"/>
          <w:sz w:val="32"/>
          <w:szCs w:val="32"/>
        </w:rPr>
        <w:t>主要包括：一般公共预算拨款收入466.20万元，占78.96%，比2023年预算减少15.75万元，下降3.27%，原因主要</w:t>
      </w:r>
      <w:r>
        <w:rPr>
          <w:rFonts w:hint="eastAsia" w:ascii="TimesNewRoman" w:hAnsi="TimesNewRoman" w:eastAsia="仿宋_GB2312" w:cs="TimesNewRoman"/>
          <w:color w:val="000000" w:themeColor="text1"/>
          <w:kern w:val="0"/>
          <w:sz w:val="32"/>
          <w:szCs w:val="32"/>
        </w:rPr>
        <w:t>是</w:t>
      </w:r>
      <w:r>
        <w:rPr>
          <w:rFonts w:hint="eastAsia" w:ascii="仿宋_GB2312" w:hAnsi="仿宋" w:eastAsia="仿宋_GB2312" w:cs="Times New Roman"/>
          <w:color w:val="000000" w:themeColor="text1"/>
          <w:sz w:val="32"/>
          <w:szCs w:val="32"/>
        </w:rPr>
        <w:t>人员变动</w:t>
      </w:r>
      <w:r>
        <w:rPr>
          <w:rFonts w:hint="eastAsia" w:ascii="TimesNewRoman" w:hAnsi="TimesNewRoman" w:eastAsia="仿宋_GB2312" w:cs="TimesNewRoman"/>
          <w:color w:val="000000" w:themeColor="text1"/>
          <w:kern w:val="0"/>
          <w:sz w:val="32"/>
          <w:szCs w:val="32"/>
        </w:rPr>
        <w:t>；</w:t>
      </w:r>
      <w:r>
        <w:rPr>
          <w:rFonts w:hint="eastAsia" w:ascii="TimesNewRoman" w:hAnsi="TimesNewRoman" w:eastAsia="仿宋_GB2312" w:cs="TimesNewRoman"/>
          <w:kern w:val="0"/>
          <w:sz w:val="32"/>
          <w:szCs w:val="32"/>
        </w:rPr>
        <w:t>政府性基金预算拨款收入124.22万元，占21.03%，</w:t>
      </w:r>
      <w:r>
        <w:rPr>
          <w:rFonts w:hint="eastAsia" w:ascii="TimesNewRoman" w:hAnsi="TimesNewRoman" w:eastAsia="仿宋_GB2312" w:cs="TimesNewRoman"/>
          <w:kern w:val="0"/>
          <w:sz w:val="32"/>
          <w:szCs w:val="32"/>
          <w:highlight w:val="none"/>
        </w:rPr>
        <w:t>与2023年预算一致</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rPr>
        <w:t>财政专户管理资金收入0万元，</w:t>
      </w:r>
      <w:r>
        <w:rPr>
          <w:rFonts w:hint="eastAsia" w:ascii="TimesNewRoman" w:hAnsi="TimesNewRoman" w:eastAsia="仿宋_GB2312" w:cs="TimesNewRoman"/>
          <w:kern w:val="0"/>
          <w:sz w:val="32"/>
          <w:szCs w:val="32"/>
          <w:lang w:eastAsia="zh-CN"/>
        </w:rPr>
        <w:t>占比</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与2023年预算一致。</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淮北市自然资源和规划局相山分局2024年支出预算590.42万元，比2023年预算减少15.75万元，下降2.6%，原因主要是</w:t>
      </w:r>
      <w:r>
        <w:rPr>
          <w:rFonts w:hint="eastAsia" w:ascii="仿宋_GB2312" w:hAnsi="仿宋" w:eastAsia="仿宋_GB2312" w:cs="Times New Roman"/>
          <w:color w:val="000000" w:themeColor="text1"/>
          <w:sz w:val="32"/>
          <w:szCs w:val="32"/>
        </w:rPr>
        <w:t>人员变动</w:t>
      </w:r>
      <w:r>
        <w:rPr>
          <w:rFonts w:hint="eastAsia" w:ascii="TimesNewRoman" w:hAnsi="TimesNewRoman" w:eastAsia="仿宋_GB2312" w:cs="TimesNewRoman"/>
          <w:kern w:val="0"/>
          <w:sz w:val="32"/>
          <w:szCs w:val="32"/>
        </w:rPr>
        <w:t>。其中，基本支出466.20万元，占78.96%，主要用于保障机构日常运转、完成日常工作任务；项目支出124.22万元，占21.04%，主要用于</w:t>
      </w:r>
      <w:r>
        <w:rPr>
          <w:rFonts w:hint="eastAsia" w:ascii="仿宋_GB2312" w:hAnsi="仿宋" w:eastAsia="仿宋_GB2312"/>
          <w:sz w:val="32"/>
          <w:szCs w:val="32"/>
        </w:rPr>
        <w:t>局本级和局下属单位项目支出。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财政拨款收支预算590.42万元。收入按资金来源分为：一般公共预算拨款466.20万元、政府性基金预算拨款124.22万元；按资金年度分为：本年财政拨款收入590.42万元。支出按功能分类分为：社会保障和就业支出89.63万元，占15.18%；卫生健康支出21.91万元，占3.71%；城乡社区支出</w:t>
      </w:r>
      <w:r>
        <w:rPr>
          <w:rFonts w:hint="eastAsia" w:ascii="TimesNewRoman" w:hAnsi="TimesNewRoman" w:eastAsia="仿宋_GB2312" w:cs="TimesNewRoman"/>
          <w:color w:val="000000" w:themeColor="text1"/>
          <w:kern w:val="0"/>
          <w:sz w:val="32"/>
          <w:szCs w:val="32"/>
        </w:rPr>
        <w:t>124.22</w:t>
      </w:r>
      <w:r>
        <w:rPr>
          <w:rFonts w:hint="eastAsia" w:ascii="TimesNewRoman" w:hAnsi="TimesNewRoman" w:eastAsia="仿宋_GB2312" w:cs="TimesNewRoman"/>
          <w:kern w:val="0"/>
          <w:sz w:val="32"/>
          <w:szCs w:val="32"/>
        </w:rPr>
        <w:t>万元，占21.04%；自然资源海洋气象等支出272.30万元，占46.12%；住房保障支出70.13万元，占11.88%；粮油物资储备支出12.23万元，占2.07%。</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淮北市自然资源和规划局相山分局2024年一般公共预算支出466.20万元，比2023年预算减少15.75万元，下降3.27%，主要原因：是</w:t>
      </w:r>
      <w:r>
        <w:rPr>
          <w:rFonts w:hint="eastAsia" w:ascii="仿宋_GB2312" w:hAnsi="仿宋" w:eastAsia="仿宋_GB2312" w:cs="Times New Roman"/>
          <w:color w:val="000000" w:themeColor="text1"/>
          <w:sz w:val="32"/>
          <w:szCs w:val="32"/>
        </w:rPr>
        <w:t>人员变动</w:t>
      </w:r>
      <w:r>
        <w:rPr>
          <w:rFonts w:hint="eastAsia" w:ascii="TimesNewRoman" w:hAnsi="TimesNewRoman" w:eastAsia="仿宋_GB2312" w:cs="TimesNewRoman"/>
          <w:kern w:val="0"/>
          <w:sz w:val="32"/>
          <w:szCs w:val="32"/>
        </w:rPr>
        <w:t>。</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社会保障和就业支出89.63万元，占19.22%；卫生健康支出21.91万元，占4.7%；自然资源海洋气象等支出272.30万元，占58.41%；住房保障支出70.13万元，占15.04%；粮油物资储备支出12.23万元，占2.62%。</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（类）行政事业单位养老支出（款）行政单位离退休（项）</w:t>
      </w:r>
      <w:r>
        <w:rPr>
          <w:rFonts w:hint="eastAsia" w:ascii="TimesNewRoman" w:hAnsi="TimesNewRoman" w:eastAsia="仿宋_GB2312" w:cs="TimesNewRoman"/>
          <w:kern w:val="0"/>
          <w:sz w:val="32"/>
          <w:szCs w:val="32"/>
        </w:rPr>
        <w:t>2024年预算29.77万元，比2023年预算增加2.43万元，增长8.89%，原因主要是增加退休人员提租补贴。</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2、</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（类）行政事业单位养老支出（款）机关事业单位职业年金缴费支出（项）</w:t>
      </w:r>
      <w:r>
        <w:rPr>
          <w:rFonts w:hint="eastAsia" w:ascii="TimesNewRoman" w:hAnsi="TimesNewRoman" w:eastAsia="仿宋_GB2312" w:cs="TimesNewRoman"/>
          <w:kern w:val="0"/>
          <w:sz w:val="32"/>
          <w:szCs w:val="32"/>
        </w:rPr>
        <w:t>2024年预算19.51万元，比2023年预算减少0.59万元，下降2.94%，原因主要是</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（类）行政事业单位养老支出（款）其他行政事业单位养老支出（项）</w:t>
      </w:r>
      <w:r>
        <w:rPr>
          <w:rFonts w:hint="eastAsia" w:ascii="TimesNewRoman" w:hAnsi="TimesNewRoman" w:eastAsia="仿宋_GB2312" w:cs="TimesNewRoman"/>
          <w:kern w:val="0"/>
          <w:sz w:val="32"/>
          <w:szCs w:val="32"/>
        </w:rPr>
        <w:t>2024年预算0.20万元，比2023年预算增加0.20万元，增长100%，原因主要是人员变动。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（类）其他社会保障和就业支出（款）其他社会保障和就业支出（项）</w:t>
      </w:r>
      <w:r>
        <w:rPr>
          <w:rFonts w:hint="eastAsia" w:ascii="TimesNewRoman" w:hAnsi="TimesNewRoman" w:eastAsia="仿宋_GB2312" w:cs="TimesNewRoman"/>
          <w:kern w:val="0"/>
          <w:sz w:val="32"/>
          <w:szCs w:val="32"/>
        </w:rPr>
        <w:t>2024年预算1.15万元，比2023年预算增加0.01万元，增长0.88%，原因主要是人员变动。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（类）行政事业单位医疗（款）行政单位医疗（项）</w:t>
      </w:r>
      <w:r>
        <w:rPr>
          <w:rFonts w:hint="eastAsia" w:ascii="TimesNewRoman" w:hAnsi="TimesNewRoman" w:eastAsia="仿宋_GB2312" w:cs="TimesNewRoman"/>
          <w:kern w:val="0"/>
          <w:sz w:val="32"/>
          <w:szCs w:val="32"/>
        </w:rPr>
        <w:t>2024年预算20.35万元，比2023年预算增加4.95万元，增长32.14%，原因主要是社保基数调整及人员变动。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（类）行政事业单位医疗（款）公务员医疗补助（项）</w:t>
      </w:r>
      <w:r>
        <w:rPr>
          <w:rFonts w:hint="eastAsia" w:ascii="TimesNewRoman" w:hAnsi="TimesNewRoman" w:eastAsia="仿宋_GB2312" w:cs="TimesNewRoman"/>
          <w:kern w:val="0"/>
          <w:sz w:val="32"/>
          <w:szCs w:val="32"/>
        </w:rPr>
        <w:t>2024年预算1.55万元，比2023年预算减少5.13万元，下降76.80%，原因主要是人员变动。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7、</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（类）自然资源事务（款）行政运行（项）</w:t>
      </w:r>
      <w:r>
        <w:rPr>
          <w:rFonts w:hint="eastAsia" w:ascii="TimesNewRoman" w:hAnsi="TimesNewRoman" w:eastAsia="仿宋_GB2312" w:cs="TimesNewRoman"/>
          <w:kern w:val="0"/>
          <w:sz w:val="32"/>
          <w:szCs w:val="32"/>
        </w:rPr>
        <w:t>2024年预算35.97万元，比2023年预算减少26.85万元，下降42.7%，原因主要是</w:t>
      </w:r>
      <w:r>
        <w:rPr>
          <w:rFonts w:hint="eastAsia" w:ascii="仿宋_GB2312" w:hAnsi="仿宋" w:eastAsia="仿宋_GB2312"/>
          <w:sz w:val="32"/>
          <w:szCs w:val="32"/>
        </w:rPr>
        <w:t>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8、</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（类）自然资源事务（款）事业运行（项）</w:t>
      </w:r>
      <w:r>
        <w:rPr>
          <w:rFonts w:hint="eastAsia" w:ascii="TimesNewRoman" w:hAnsi="TimesNewRoman" w:eastAsia="仿宋_GB2312" w:cs="TimesNewRoman"/>
          <w:kern w:val="0"/>
          <w:sz w:val="32"/>
          <w:szCs w:val="32"/>
        </w:rPr>
        <w:t>2024年预算236.33万元，比2023年预算减少13.53万元，下降5.42%，原因主要是</w:t>
      </w:r>
      <w:r>
        <w:rPr>
          <w:rFonts w:hint="eastAsia" w:ascii="仿宋_GB2312" w:hAnsi="仿宋" w:eastAsia="仿宋_GB2312"/>
          <w:sz w:val="32"/>
          <w:szCs w:val="32"/>
        </w:rPr>
        <w:t>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（类）住房改革支出（款）住房公积金（项）</w:t>
      </w:r>
      <w:r>
        <w:rPr>
          <w:rFonts w:hint="eastAsia" w:ascii="TimesNewRoman" w:hAnsi="TimesNewRoman" w:eastAsia="仿宋_GB2312" w:cs="TimesNewRoman"/>
          <w:kern w:val="0"/>
          <w:sz w:val="32"/>
          <w:szCs w:val="32"/>
        </w:rPr>
        <w:t>2024年预算42.08万元，比2023年预算增加1万元，增长2.43%，原因主要是公积金基数调整及人员变动。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（类）住房改革支出（款）提租补贴（项）</w:t>
      </w:r>
      <w:r>
        <w:rPr>
          <w:rFonts w:hint="eastAsia" w:ascii="TimesNewRoman" w:hAnsi="TimesNewRoman" w:eastAsia="仿宋_GB2312" w:cs="TimesNewRoman"/>
          <w:kern w:val="0"/>
          <w:sz w:val="32"/>
          <w:szCs w:val="32"/>
        </w:rPr>
        <w:t>2024年预算10.52万元，比2023年预算增加10.52万元，增长100%，原因主要是新增提租补贴费用支出。</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（类）住房改革支出（款）购房补贴（项）</w:t>
      </w:r>
      <w:r>
        <w:rPr>
          <w:rFonts w:hint="eastAsia" w:ascii="TimesNewRoman" w:hAnsi="TimesNewRoman" w:eastAsia="仿宋_GB2312" w:cs="TimesNewRoman"/>
          <w:kern w:val="0"/>
          <w:sz w:val="32"/>
          <w:szCs w:val="32"/>
        </w:rPr>
        <w:t>2024年预算17.53万元，比2023年预算增加0.41万元，增长2.40%，原因主要是公积金基数调整及人员变动。</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12、</w:t>
      </w:r>
      <w:r>
        <w:rPr>
          <w:rFonts w:hint="eastAsia" w:ascii="仿宋_GB2312" w:hAnsi="仿宋" w:eastAsia="仿宋_GB2312" w:cs="Times New Roman"/>
          <w:sz w:val="32"/>
          <w:szCs w:val="32"/>
        </w:rPr>
        <w:t>粮油物资储备支出</w:t>
      </w:r>
      <w:r>
        <w:rPr>
          <w:rFonts w:hint="eastAsia" w:ascii="仿宋_GB2312" w:hAnsi="仿宋" w:eastAsia="仿宋_GB2312"/>
          <w:sz w:val="32"/>
          <w:szCs w:val="32"/>
        </w:rPr>
        <w:t>（类）粮油物资事务（款）行政运行（项）</w:t>
      </w:r>
      <w:r>
        <w:rPr>
          <w:rFonts w:hint="eastAsia" w:ascii="TimesNewRoman" w:hAnsi="TimesNewRoman" w:eastAsia="仿宋_GB2312" w:cs="TimesNewRoman"/>
          <w:kern w:val="0"/>
          <w:sz w:val="32"/>
          <w:szCs w:val="32"/>
        </w:rPr>
        <w:t>2024年预算12.23万元，比2023年预算增加12.23万元，增长100%，原因主要是功能科目调整。</w:t>
      </w:r>
    </w:p>
    <w:p>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淮北市自然资源和规划局相山分局2024年一般公共预算基本支出466.20万元，其中，人员经费432.84万元，公用经费33.36万元。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（一）人员经费432.84万元，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工会经费、福利费、住房公积金、其他商品服务支出、退休费、生活补助、医疗费补助、其他对个人和家庭的补助。</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（二）公用经费33.36万元，</w:t>
      </w:r>
      <w:r>
        <w:rPr>
          <w:rFonts w:hint="eastAsia" w:ascii="TimesNewRoman" w:hAnsi="TimesNewRoman" w:eastAsia="仿宋_GB2312" w:cs="TimesNewRoman"/>
          <w:kern w:val="0"/>
          <w:sz w:val="32"/>
          <w:szCs w:val="32"/>
        </w:rPr>
        <w:t>主要包括：其他交通费用、其他商品服务支出。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highlight w:val="none"/>
        </w:rPr>
        <w:t>淮北市自然资源和规划局相山分局2024年政府性基金支出124.22万元，与2023年预算一致。</w:t>
      </w:r>
      <w:r>
        <w:rPr>
          <w:rFonts w:hint="eastAsia" w:ascii="TimesNewRoman" w:hAnsi="TimesNewRoman" w:eastAsia="仿宋_GB2312" w:cs="TimesNewRoman"/>
          <w:kern w:val="0"/>
          <w:sz w:val="32"/>
          <w:szCs w:val="32"/>
        </w:rPr>
        <w:t>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2024年预算124.22万元，与2023年预算一致。</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淮北市自然资源和规划局相山分局2024年没有国有资本经营预算拨款收入，也没有使用国有资本经营预算拨款安排的支出。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预算共安排项目支出124.22万元，与2023年预算一致。主要包括：本年财政拨款安排124.22万元（其中，一般公共预算拨款安排0万元，政府性基金预算拨款安排124.22万元），财政专户管理资金安排0万元。</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淮北市自然资源和规划局相山分局2024年预算安排政府采购支出0万元，与2023年预算一致。其中，一般公共预算安排0万元，占0%；政府性基金预算安排0万元，占0%；财政专户管理资金安排0万元，占0%。</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w:t>
      </w:r>
      <w:r>
        <w:rPr>
          <w:rFonts w:hint="eastAsia" w:ascii="TimesNewRoman" w:hAnsi="TimesNewRoman" w:eastAsia="仿宋_GB2312" w:cs="TimesNewRoman"/>
          <w:kern w:val="0"/>
          <w:sz w:val="32"/>
          <w:szCs w:val="32"/>
          <w:lang w:eastAsia="zh-CN"/>
        </w:rPr>
        <w:t>相山</w:t>
      </w:r>
      <w:bookmarkStart w:id="0" w:name="_GoBack"/>
      <w:bookmarkEnd w:id="0"/>
      <w:r>
        <w:rPr>
          <w:rFonts w:hint="eastAsia" w:ascii="TimesNewRoman" w:hAnsi="TimesNewRoman" w:eastAsia="仿宋_GB2312" w:cs="TimesNewRoman"/>
          <w:kern w:val="0"/>
          <w:sz w:val="32"/>
          <w:szCs w:val="32"/>
        </w:rPr>
        <w:t>分局</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rPr>
        <w:t>4年预算没有安排政府购买服务支出。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1、“单位劳务保障支出”项目。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（1）项目概述。待岗人员工资、绩效、年终一次性奖金、社会保障缴费、养老、职业年金、住房公积金、住房补贴、公务费定额、独生子女费、工会经费、职工教育经费福利费、一次性工作奖励、增资。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（2）立项依据。市长办公会议纪要。</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w:t>
      </w:r>
      <w:r>
        <w:rPr>
          <w:rFonts w:hint="eastAsia" w:ascii="TimesNewRoman" w:hAnsi="TimesNewRoman" w:eastAsia="仿宋_GB2312" w:cs="TimesNewRoman"/>
          <w:kern w:val="0"/>
          <w:sz w:val="32"/>
          <w:szCs w:val="32"/>
          <w:highlight w:val="none"/>
        </w:rPr>
        <w:t>局相山分局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（5）项目内容。保障人员费用支出，及时、高质量保障，确保各项任务顺利开展。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（6）年度预算安排。50.08万元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ign w:val="center"/>
          </w:tcPr>
          <w:p>
            <w:pPr>
              <w:widowControl/>
              <w:jc w:val="right"/>
              <w:textAlignment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ign w:val="center"/>
          </w:tcPr>
          <w:p>
            <w:pPr>
              <w:widowControl/>
              <w:jc w:val="right"/>
              <w:textAlignment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38"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ign w:val="center"/>
          </w:tcPr>
          <w:p>
            <w:pPr>
              <w:jc w:val="left"/>
              <w:rPr>
                <w:rFonts w:ascii="等线" w:hAnsi="等线" w:eastAsia="等线" w:cs="宋体"/>
                <w:color w:val="000000"/>
                <w:sz w:val="22"/>
              </w:rPr>
            </w:pPr>
            <w:r>
              <w:rPr>
                <w:rFonts w:hint="eastAsia" w:ascii="国标宋体" w:hAnsi="国标宋体" w:eastAsia="国标宋体" w:cs="国标宋体"/>
                <w:color w:val="000000"/>
                <w:sz w:val="20"/>
                <w:szCs w:val="20"/>
              </w:rPr>
              <w:t>保障人员费用支出，及时、高质量保障，确保各项任务顺利开展。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指标1：服务人员数量</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待岗人员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严格执行相关财经严格执行相关财经法规制度法规制度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指标1：同工同酬</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指标1：人员稳定</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工作热情度高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指标1：增强群众生态文明意识</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支撑作用效果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服务对象满意</w:t>
            </w:r>
          </w:p>
        </w:tc>
      </w:tr>
    </w:tbl>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2、“自然资源业务费”项目。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本项目用于办公楼5层约2000平方米，邮电费、办公费运行、维（护）护费、办公设备购置；国土所2辆车辆运行费用车辆燃修费（发展相山分中心1辆车，国土所2辆车）2、用于全区土地矿产资源等管理保护与合理利用以及全区测绘管理的工作部门，执行相关法律法规。落实土地利用总体规划、矿产资源规划和动态巡查制度。严格落实耕地保护政策，积极配合组织实施基本农田保护和未利用土地整理、复垦、开发工作。协助市局做好各类用地的审查报批、建设用地管理、地籍管理、建设项目评估选址、国有土地资本运营、非煤矿山管理、测绘管理工作。开展国土资源执法监察，协助市局查处辖区内重大土地、矿产、测绘违法案件；对一般土地、矿产、测绘违法案件的立案查处。做好全局人员政治、业务培训工作府和上级国土资源部门报告。3、用于土地资本运营系统工程，从储备到土地供应，期间发生各项费用，只有发挥系统功能的作用，才能实现土地资本运营收益最大化。土地资本运营包括：办公费、差旅费、维修护费、其他商品和服务支出。4、土地调查数据库更：用于更新农村土地利用现状数据库，为经济发展和国土资源服务；年度土地变更调查数据更新，用于年度变更调查和成果确认后数据库更新及软件升级。5、党建活动租车费6、地质灾害防治经费，7、测量标志管护费用8、权益科资产清查业务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（2）立项依据。1.淮行管（2011）8号 ；2. 财购[2011]27号；3.皖国土资（2008）231号；4.淮信组（2010）7号；5.国土资电发（2010）145号；6.皖国土资（2006）225号；7.【1992】价费字597号；8.《2015年度国有土地收购储备及招拍挂出让计划》、土委会会议纪要、财综字【1995】326号。</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highlight w:val="none"/>
        </w:rPr>
        <w:t>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提高办事效率和服务水平，需支出取暖制冷费和水电费用；随着细化、规范，业务量大幅度增加，尤其2个所加大土地执法巡查力度、切实保护耕地，协调全区各镇工作需要购买保险及维修保养费用；随着信息化建设推进，电脑等硬件增多，需维护费用。通过为系统职工提供良好工作条件，从而提高服务保障能力。通过添置充实信息化设备，全面推动基层电子政务工作，确保提升高效服务。为加强国有建设用地使用权出让管理，进一步规范出让行为，完善出让程序，加大土地运营力度，市土地储备发展中心联合分中心人员做好人员培训、加强网络维护，对辖区内的土地进行前期的地籍调查、测量绘制，对成熟的地块进行规划设计、土地评估，公告、公证和询价等一系列工作，土地管理委员会会议对全市土地资源管理重大问题，实行集体研究、民主决策，提高了决策的科学性、民主性。</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（6）年度预算安排。61.06万元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217" w:type="dxa"/>
            <w:gridSpan w:val="7"/>
            <w:tcBorders>
              <w:top w:val="nil"/>
              <w:left w:val="nil"/>
              <w:bottom w:val="nil"/>
              <w:right w:val="nil"/>
            </w:tcBorders>
            <w:noWrap/>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17" w:type="dxa"/>
            <w:gridSpan w:val="7"/>
            <w:tcBorders>
              <w:top w:val="nil"/>
              <w:left w:val="nil"/>
              <w:right w:val="nil"/>
            </w:tcBorders>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774" w:type="dxa"/>
            <w:gridSpan w:val="4"/>
            <w:noWrap/>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ign w:val="center"/>
          </w:tcPr>
          <w:p>
            <w:pPr>
              <w:widowControl/>
              <w:jc w:val="center"/>
              <w:textAlignment w:val="center"/>
            </w:pPr>
            <w:r>
              <w:rPr>
                <w:rFonts w:hint="eastAsia" w:ascii="宋体" w:hAnsi="宋体" w:cs="宋体"/>
                <w:color w:val="000000"/>
                <w:kern w:val="0"/>
                <w:sz w:val="20"/>
                <w:szCs w:val="20"/>
              </w:rPr>
              <w:t>实施单位</w:t>
            </w:r>
          </w:p>
        </w:tc>
        <w:tc>
          <w:tcPr>
            <w:tcW w:w="2577"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ign w:val="center"/>
          </w:tcPr>
          <w:p>
            <w:pPr>
              <w:widowControl/>
              <w:jc w:val="center"/>
              <w:textAlignment w:val="center"/>
            </w:pPr>
            <w:r>
              <w:rPr>
                <w:rFonts w:hint="eastAsia" w:ascii="宋体" w:hAnsi="宋体" w:cs="宋体"/>
                <w:color w:val="000000"/>
                <w:kern w:val="0"/>
                <w:sz w:val="20"/>
                <w:szCs w:val="20"/>
              </w:rPr>
              <w:t>项目期</w:t>
            </w:r>
          </w:p>
        </w:tc>
        <w:tc>
          <w:tcPr>
            <w:tcW w:w="2577"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425"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425" w:type="dxa"/>
            <w:gridSpan w:val="2"/>
            <w:noWrap/>
            <w:vAlign w:val="center"/>
          </w:tcPr>
          <w:p>
            <w:pPr>
              <w:widowControl/>
              <w:jc w:val="right"/>
              <w:textAlignment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425" w:type="dxa"/>
            <w:gridSpan w:val="2"/>
            <w:noWrap/>
            <w:vAlign w:val="center"/>
          </w:tcPr>
          <w:p>
            <w:pPr>
              <w:widowControl/>
              <w:jc w:val="right"/>
              <w:textAlignment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425"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779" w:type="dxa"/>
            <w:gridSpan w:val="6"/>
            <w:noWrap/>
            <w:vAlign w:val="center"/>
          </w:tcPr>
          <w:p>
            <w:pPr>
              <w:jc w:val="left"/>
              <w:rPr>
                <w:rFonts w:ascii="宋体" w:hAnsi="宋体" w:cs="宋体"/>
                <w:color w:val="000000"/>
                <w:sz w:val="20"/>
                <w:szCs w:val="20"/>
              </w:rPr>
            </w:pPr>
            <w:r>
              <w:rPr>
                <w:rFonts w:hint="eastAsia" w:ascii="宋体" w:hAnsi="宋体" w:eastAsia="宋体" w:cs="宋体"/>
                <w:color w:val="000000"/>
                <w:kern w:val="0"/>
                <w:sz w:val="20"/>
                <w:szCs w:val="20"/>
              </w:rPr>
              <w:t>保障自然资源各项业务工作的正常开展，顺利推进，提高管理科学化、规范化水平。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425" w:type="dxa"/>
            <w:gridSpan w:val="2"/>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指标1：服务人员数量</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分局工作人员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61.06万元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指标1：服务各行业</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重视所接受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指标1：增强生态文明建设意识</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指标1：服务行业满意度</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各行业单位满意度</w:t>
            </w:r>
          </w:p>
        </w:tc>
      </w:tr>
    </w:tbl>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3、“办公楼运行维护费”项目。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（1）项目概述。办公楼电费；物业管理费。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p>
    <w:p>
      <w:pPr>
        <w:ind w:firstLine="640" w:firstLineChars="200"/>
        <w:rPr>
          <w:rFonts w:hint="eastAsia" w:ascii="TimesNewRoman" w:hAnsi="TimesNewRoman" w:eastAsia="仿宋_GB2312" w:cs="TimesNewRoman"/>
          <w:kern w:val="0"/>
          <w:sz w:val="32"/>
          <w:szCs w:val="32"/>
          <w:highlight w:val="red"/>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highlight w:val="none"/>
        </w:rPr>
        <w:t>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（5）项目内容。办公楼电费，物业管理费，日常保洁保安，保障日常运转需要。</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（6）年度预算安排。13.08万元</w:t>
      </w:r>
    </w:p>
    <w:p>
      <w:pPr>
        <w:ind w:firstLine="640" w:firstLineChars="200"/>
        <w:rPr>
          <w:rFonts w:eastAsia="仿宋_GB231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020" w:type="dxa"/>
            <w:gridSpan w:val="7"/>
            <w:tcBorders>
              <w:top w:val="nil"/>
              <w:left w:val="nil"/>
              <w:right w:val="nil"/>
            </w:tcBorders>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ign w:val="center"/>
          </w:tcPr>
          <w:p>
            <w:pPr>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ign w:val="center"/>
          </w:tcPr>
          <w:p>
            <w:pPr>
              <w:jc w:val="righ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ign w:val="center"/>
          </w:tcPr>
          <w:p>
            <w:pPr>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ign w:val="center"/>
          </w:tcPr>
          <w:p>
            <w:pPr>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ign w:val="center"/>
          </w:tcPr>
          <w:p>
            <w:pPr>
              <w:jc w:val="left"/>
              <w:rPr>
                <w:rFonts w:ascii="等线" w:hAnsi="等线" w:eastAsia="等线" w:cs="宋体"/>
                <w:color w:val="000000"/>
                <w:sz w:val="22"/>
              </w:rPr>
            </w:pPr>
            <w:r>
              <w:rPr>
                <w:rFonts w:hint="eastAsia" w:ascii="宋体" w:hAnsi="宋体" w:eastAsia="宋体" w:cs="宋体"/>
                <w:color w:val="000000"/>
                <w:kern w:val="0"/>
                <w:sz w:val="20"/>
                <w:szCs w:val="20"/>
              </w:rPr>
              <w:t>办公楼5层2000平方米一年的电费，物业管理费，日常保洁保安，保障日常运转需要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指标1：服务人数数量</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29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严格执行相关财经法规、制度等规定</w:t>
            </w:r>
            <w:r>
              <w:rPr>
                <w:rFonts w:hint="eastAsia" w:ascii="宋体" w:hAnsi="宋体" w:eastAsia="宋体" w:cs="宋体"/>
                <w:color w:val="000000"/>
                <w:kern w:val="0"/>
                <w:sz w:val="20"/>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指标1：电费、保安保洁</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电费，1名保洁员月1800元、3名保安月2050元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日常业务需求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指标1：提高服务能力</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指标1：服务单位满意度</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8" w:type="dxa"/>
            <w:vMerge w:val="continue"/>
            <w:noWrap/>
            <w:vAlign w:val="center"/>
          </w:tcPr>
          <w:p>
            <w:pPr>
              <w:jc w:val="center"/>
              <w:rPr>
                <w:rFonts w:ascii="宋体" w:cs="宋体"/>
                <w:sz w:val="20"/>
              </w:rPr>
            </w:pPr>
          </w:p>
        </w:tc>
        <w:tc>
          <w:tcPr>
            <w:tcW w:w="723" w:type="dxa"/>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指标1：调高工资效率</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各行业单位满意度</w:t>
            </w:r>
          </w:p>
        </w:tc>
      </w:tr>
    </w:tbl>
    <w:p>
      <w:pPr>
        <w:adjustRightInd w:val="0"/>
        <w:snapToGrid w:val="0"/>
        <w:spacing w:line="580" w:lineRule="exact"/>
        <w:ind w:firstLine="643" w:firstLineChars="200"/>
        <w:rPr>
          <w:rFonts w:ascii="TimesNewRoman" w:hAnsi="TimesNewRoman" w:eastAsia="仿宋_GB2312" w:cs="TimesNewRoman"/>
          <w:b/>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淮北市自然资源和规划局相山分局2024年机关运行经费财政拨款预算33.36万元，比2023年预算减少2.32万元，下降6.50%，原因主要是人员变动。</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淮北市自然资源和规划局相山分局2024年政府采购预算0万元。其中：政府采购货物预算0万元，政府采购工程预算0万元，政府采购服务预算0万元。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截至2023年12月31日，淮北市自然资源和规划局相山分局共有车辆2辆，其中：其他用车2辆。单价50万元以上的通用设备0台（套），单价100万元以上的专用设备0台（套）。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2024年部门预算安排购置公务用车0辆，购置费0万元；安</w:t>
      </w:r>
      <w:r>
        <w:rPr>
          <w:rFonts w:hint="eastAsia" w:ascii="TimesNewRoman" w:hAnsi="TimesNewRoman" w:eastAsia="仿宋_GB2312" w:cs="TimesNewRoman"/>
          <w:kern w:val="0"/>
          <w:sz w:val="32"/>
          <w:szCs w:val="32"/>
          <w:highlight w:val="none"/>
        </w:rPr>
        <w:t>排购置单价50万元以上的通用设备台</w:t>
      </w:r>
      <w:r>
        <w:rPr>
          <w:rFonts w:hint="eastAsia" w:ascii="TimesNewRoman" w:hAnsi="TimesNewRoman" w:eastAsia="仿宋_GB2312" w:cs="TimesNewRoman"/>
          <w:kern w:val="0"/>
          <w:sz w:val="32"/>
          <w:szCs w:val="32"/>
          <w:highlight w:val="none"/>
          <w:lang w:val="en-US" w:eastAsia="zh-CN"/>
        </w:rPr>
        <w:t>0</w:t>
      </w:r>
      <w:r>
        <w:rPr>
          <w:rFonts w:hint="eastAsia" w:ascii="TimesNewRoman" w:hAnsi="TimesNewRoman" w:eastAsia="仿宋_GB2312" w:cs="TimesNewRoman"/>
          <w:kern w:val="0"/>
          <w:sz w:val="32"/>
          <w:szCs w:val="32"/>
          <w:highlight w:val="none"/>
        </w:rPr>
        <w:t>（套），购置费0万元；安排购置单价100万元以上专用设备台</w:t>
      </w:r>
      <w:r>
        <w:rPr>
          <w:rFonts w:hint="eastAsia" w:ascii="TimesNewRoman" w:hAnsi="TimesNewRoman" w:eastAsia="仿宋_GB2312" w:cs="TimesNewRoman"/>
          <w:kern w:val="0"/>
          <w:sz w:val="32"/>
          <w:szCs w:val="32"/>
          <w:highlight w:val="none"/>
          <w:lang w:val="en-US" w:eastAsia="zh-CN"/>
        </w:rPr>
        <w:t>0</w:t>
      </w:r>
      <w:r>
        <w:rPr>
          <w:rFonts w:hint="eastAsia" w:ascii="TimesNewRoman" w:hAnsi="TimesNewRoman" w:eastAsia="仿宋_GB2312" w:cs="TimesNewRoman"/>
          <w:kern w:val="0"/>
          <w:sz w:val="32"/>
          <w:szCs w:val="32"/>
          <w:highlight w:val="none"/>
        </w:rPr>
        <w:t>（套）</w:t>
      </w:r>
      <w:r>
        <w:rPr>
          <w:rFonts w:hint="eastAsia" w:ascii="TimesNewRoman" w:hAnsi="TimesNewRoman" w:eastAsia="仿宋_GB2312" w:cs="TimesNewRoman"/>
          <w:kern w:val="0"/>
          <w:sz w:val="32"/>
          <w:szCs w:val="32"/>
        </w:rPr>
        <w:t>，购置费0万元。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2024年，淮北市自然资源和规划局相山分局3个项目实行了绩效目标管理，涉及一般公共预算当年财政拨款0万元、政府性基金预算当年财政拨款124.22万元、财政专户管理资金当年安排0万元。</w:t>
      </w:r>
    </w:p>
    <w:p>
      <w:pPr>
        <w:pStyle w:val="8"/>
        <w:adjustRightInd w:val="0"/>
        <w:snapToGrid w:val="0"/>
        <w:spacing w:line="560" w:lineRule="exact"/>
        <w:jc w:val="center"/>
        <w:rPr>
          <w:rFonts w:ascii="TimesNewRoman" w:hAnsi="TimesNewRoman" w:eastAsia="黑体" w:cs="TimesNewRoman"/>
          <w:bCs/>
          <w:sz w:val="36"/>
          <w:szCs w:val="36"/>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Pr>
        <w:ind w:firstLine="643" w:firstLineChars="200"/>
      </w:pPr>
      <w:r>
        <w:rPr>
          <w:rFonts w:hint="eastAsia" w:ascii="TimesNewRoman" w:hAnsi="TimesNewRoman" w:eastAsia="仿宋_GB2312" w:cs="TimesNewRoman"/>
          <w:b/>
          <w:kern w:val="0"/>
          <w:sz w:val="32"/>
          <w:szCs w:val="32"/>
        </w:rPr>
        <w:t>十一、“三公”经费：</w:t>
      </w:r>
      <w:r>
        <w:rPr>
          <w:rFonts w:hint="eastAsia" w:ascii="TimesNewRoman" w:hAnsi="TimesNewRoman" w:eastAsia="仿宋_GB2312" w:cs="TimesNewRoman"/>
          <w:bCs/>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8"/>
        <w:adjustRightInd w:val="0"/>
        <w:snapToGrid w:val="0"/>
        <w:spacing w:line="560" w:lineRule="exact"/>
        <w:ind w:firstLine="470" w:firstLineChars="196"/>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国标宋体">
    <w:altName w:val="宋体"/>
    <w:panose1 w:val="00000000000000000000"/>
    <w:charset w:val="86"/>
    <w:family w:val="auto"/>
    <w:pitch w:val="default"/>
    <w:sig w:usb0="00000000" w:usb1="00000000" w:usb2="00000000" w:usb3="00000000" w:csb0="00060007"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075176"/>
    <w:rsid w:val="000E28EE"/>
    <w:rsid w:val="00186149"/>
    <w:rsid w:val="0019270F"/>
    <w:rsid w:val="001A4EBE"/>
    <w:rsid w:val="001C7E0D"/>
    <w:rsid w:val="001D57E4"/>
    <w:rsid w:val="001D5EDA"/>
    <w:rsid w:val="001F4904"/>
    <w:rsid w:val="00267E33"/>
    <w:rsid w:val="002A5A66"/>
    <w:rsid w:val="002B2545"/>
    <w:rsid w:val="003458D2"/>
    <w:rsid w:val="00357215"/>
    <w:rsid w:val="003A51A3"/>
    <w:rsid w:val="003B75D1"/>
    <w:rsid w:val="003C63A6"/>
    <w:rsid w:val="003D0087"/>
    <w:rsid w:val="00487695"/>
    <w:rsid w:val="004A4DC6"/>
    <w:rsid w:val="004B1883"/>
    <w:rsid w:val="00527A02"/>
    <w:rsid w:val="005538F1"/>
    <w:rsid w:val="0057562B"/>
    <w:rsid w:val="00595682"/>
    <w:rsid w:val="005F1776"/>
    <w:rsid w:val="005F5039"/>
    <w:rsid w:val="00606791"/>
    <w:rsid w:val="00613642"/>
    <w:rsid w:val="006546AF"/>
    <w:rsid w:val="00661469"/>
    <w:rsid w:val="00695D73"/>
    <w:rsid w:val="006C00B0"/>
    <w:rsid w:val="006E708E"/>
    <w:rsid w:val="00726D96"/>
    <w:rsid w:val="007B166D"/>
    <w:rsid w:val="007C487B"/>
    <w:rsid w:val="007E4444"/>
    <w:rsid w:val="007E6A27"/>
    <w:rsid w:val="007F6DD8"/>
    <w:rsid w:val="00850CF2"/>
    <w:rsid w:val="008C26D5"/>
    <w:rsid w:val="008C741C"/>
    <w:rsid w:val="008F1844"/>
    <w:rsid w:val="008F6D1A"/>
    <w:rsid w:val="009715D5"/>
    <w:rsid w:val="0098138D"/>
    <w:rsid w:val="009953C2"/>
    <w:rsid w:val="009A3CA3"/>
    <w:rsid w:val="00A07C74"/>
    <w:rsid w:val="00A51DB7"/>
    <w:rsid w:val="00A550AA"/>
    <w:rsid w:val="00A553A8"/>
    <w:rsid w:val="00A67D81"/>
    <w:rsid w:val="00A83814"/>
    <w:rsid w:val="00A940BC"/>
    <w:rsid w:val="00A96FE5"/>
    <w:rsid w:val="00AD7871"/>
    <w:rsid w:val="00AD7EDD"/>
    <w:rsid w:val="00AE3242"/>
    <w:rsid w:val="00AF059D"/>
    <w:rsid w:val="00AF3F46"/>
    <w:rsid w:val="00AF5D88"/>
    <w:rsid w:val="00B05ABF"/>
    <w:rsid w:val="00B35BF3"/>
    <w:rsid w:val="00B4308D"/>
    <w:rsid w:val="00B60121"/>
    <w:rsid w:val="00B71087"/>
    <w:rsid w:val="00B71EB0"/>
    <w:rsid w:val="00BA5560"/>
    <w:rsid w:val="00BC4299"/>
    <w:rsid w:val="00BD45FB"/>
    <w:rsid w:val="00BD494F"/>
    <w:rsid w:val="00BD640A"/>
    <w:rsid w:val="00C2004A"/>
    <w:rsid w:val="00D164DA"/>
    <w:rsid w:val="00D242A2"/>
    <w:rsid w:val="00D85BE2"/>
    <w:rsid w:val="00DB2A5C"/>
    <w:rsid w:val="00DC3E3B"/>
    <w:rsid w:val="00DC75AF"/>
    <w:rsid w:val="00DD22A7"/>
    <w:rsid w:val="00DF0475"/>
    <w:rsid w:val="00E07A86"/>
    <w:rsid w:val="00E3197A"/>
    <w:rsid w:val="00E907C4"/>
    <w:rsid w:val="00E961D1"/>
    <w:rsid w:val="00EB14B6"/>
    <w:rsid w:val="00EB3985"/>
    <w:rsid w:val="00EC7755"/>
    <w:rsid w:val="00ED2BCA"/>
    <w:rsid w:val="00F31D1F"/>
    <w:rsid w:val="00F42B16"/>
    <w:rsid w:val="00F8450D"/>
    <w:rsid w:val="00F974AD"/>
    <w:rsid w:val="00FB6161"/>
    <w:rsid w:val="00FC44FB"/>
    <w:rsid w:val="018D4874"/>
    <w:rsid w:val="01C42ED8"/>
    <w:rsid w:val="035E7AB4"/>
    <w:rsid w:val="059A7D6C"/>
    <w:rsid w:val="06CF5F08"/>
    <w:rsid w:val="082321F2"/>
    <w:rsid w:val="084C0C0A"/>
    <w:rsid w:val="09C66959"/>
    <w:rsid w:val="0A440291"/>
    <w:rsid w:val="0E921D4B"/>
    <w:rsid w:val="15207107"/>
    <w:rsid w:val="15911959"/>
    <w:rsid w:val="165620DB"/>
    <w:rsid w:val="189147F2"/>
    <w:rsid w:val="1A4822EB"/>
    <w:rsid w:val="1A69487E"/>
    <w:rsid w:val="1B272AA4"/>
    <w:rsid w:val="1EC8761A"/>
    <w:rsid w:val="224E5073"/>
    <w:rsid w:val="230D1AC3"/>
    <w:rsid w:val="23326B5C"/>
    <w:rsid w:val="28486B7D"/>
    <w:rsid w:val="28CE0D15"/>
    <w:rsid w:val="29B97D36"/>
    <w:rsid w:val="29EA1972"/>
    <w:rsid w:val="2AFE0A42"/>
    <w:rsid w:val="2B0817D2"/>
    <w:rsid w:val="2C824A0B"/>
    <w:rsid w:val="2D1509C1"/>
    <w:rsid w:val="2F516EA2"/>
    <w:rsid w:val="30954586"/>
    <w:rsid w:val="31953B13"/>
    <w:rsid w:val="33433098"/>
    <w:rsid w:val="34110E50"/>
    <w:rsid w:val="35241977"/>
    <w:rsid w:val="358A4A96"/>
    <w:rsid w:val="36A5695F"/>
    <w:rsid w:val="36B350FA"/>
    <w:rsid w:val="39542035"/>
    <w:rsid w:val="3AD87635"/>
    <w:rsid w:val="3D4D1311"/>
    <w:rsid w:val="402B3535"/>
    <w:rsid w:val="421A4399"/>
    <w:rsid w:val="42D0798C"/>
    <w:rsid w:val="4A2A1F1C"/>
    <w:rsid w:val="4D412229"/>
    <w:rsid w:val="4FB20C7E"/>
    <w:rsid w:val="503B56C9"/>
    <w:rsid w:val="517C0121"/>
    <w:rsid w:val="59EE1680"/>
    <w:rsid w:val="5AB966A3"/>
    <w:rsid w:val="5BF91FBB"/>
    <w:rsid w:val="5D7A4684"/>
    <w:rsid w:val="60F03CEC"/>
    <w:rsid w:val="618A15A2"/>
    <w:rsid w:val="618D44F0"/>
    <w:rsid w:val="634A67A1"/>
    <w:rsid w:val="63AF1276"/>
    <w:rsid w:val="64064D57"/>
    <w:rsid w:val="65054465"/>
    <w:rsid w:val="66060A8C"/>
    <w:rsid w:val="68D11FB9"/>
    <w:rsid w:val="6908079A"/>
    <w:rsid w:val="6B2D0E73"/>
    <w:rsid w:val="6C7A2728"/>
    <w:rsid w:val="6CBF6979"/>
    <w:rsid w:val="6D086DE6"/>
    <w:rsid w:val="6F706A32"/>
    <w:rsid w:val="70CF50CE"/>
    <w:rsid w:val="716B38F2"/>
    <w:rsid w:val="71860BEA"/>
    <w:rsid w:val="7262352E"/>
    <w:rsid w:val="735F43FA"/>
    <w:rsid w:val="756543F3"/>
    <w:rsid w:val="758949BC"/>
    <w:rsid w:val="7B0459D4"/>
    <w:rsid w:val="7E142B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Date"/>
    <w:basedOn w:val="1"/>
    <w:next w:val="1"/>
    <w:qFormat/>
    <w:uiPriority w:val="0"/>
    <w:pPr>
      <w:ind w:left="25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next w:val="1"/>
    <w:qFormat/>
    <w:uiPriority w:val="10"/>
    <w:pPr>
      <w:widowControl w:val="0"/>
      <w:autoSpaceDE w:val="0"/>
      <w:autoSpaceDN w:val="0"/>
      <w:snapToGrid w:val="0"/>
      <w:spacing w:line="560" w:lineRule="exact"/>
      <w:ind w:firstLine="200" w:firstLineChars="200"/>
    </w:pPr>
    <w:rPr>
      <w:rFonts w:ascii="仿宋" w:hAnsi="仿宋" w:eastAsia="仿宋" w:cs="Times New Roman"/>
      <w:bCs/>
      <w:kern w:val="2"/>
      <w:sz w:val="30"/>
      <w:szCs w:val="32"/>
      <w:lang w:val="en-US" w:eastAsia="zh-CN" w:bidi="ar-SA"/>
    </w:rPr>
  </w:style>
  <w:style w:type="character" w:styleId="12">
    <w:name w:val="Strong"/>
    <w:basedOn w:val="11"/>
    <w:qFormat/>
    <w:uiPriority w:val="22"/>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customStyle="1" w:styleId="15">
    <w:name w:val="正文2"/>
    <w:basedOn w:val="1"/>
    <w:next w:val="1"/>
    <w:qFormat/>
    <w:uiPriority w:val="0"/>
    <w:rPr>
      <w:rFonts w:ascii="Calibri" w:hAnsi="Calibri"/>
    </w:rPr>
  </w:style>
  <w:style w:type="character" w:customStyle="1" w:styleId="16">
    <w:name w:val="NormalCharacter"/>
    <w:semiHidden/>
    <w:qFormat/>
    <w:uiPriority w:val="0"/>
  </w:style>
  <w:style w:type="character" w:customStyle="1" w:styleId="17">
    <w:name w:val="c9"/>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2009</Words>
  <Characters>11453</Characters>
  <Lines>95</Lines>
  <Paragraphs>26</Paragraphs>
  <TotalTime>0</TotalTime>
  <ScaleCrop>false</ScaleCrop>
  <LinksUpToDate>false</LinksUpToDate>
  <CharactersWithSpaces>13436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2024-03-01T08:23:27Z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