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土地储备发展中心</w:t>
      </w:r>
      <w:r>
        <w:rPr>
          <w:rFonts w:hint="eastAsia" w:ascii="TimesNewRoman" w:hAnsi="TimesNewRoman" w:eastAsia="华文中宋" w:cs="TimesNewRoman"/>
          <w:b/>
          <w:sz w:val="44"/>
          <w:szCs w:val="44"/>
        </w:rPr>
        <w:t>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p/>
    <w:p/>
    <w:p/>
    <w:p/>
    <w:p/>
    <w:p/>
    <w:p/>
    <w:p/>
    <w:p/>
    <w:p/>
    <w:p/>
    <w:p/>
    <w:p/>
    <w:p/>
    <w:p/>
    <w:p/>
    <w:p/>
    <w:p/>
    <w:p/>
    <w:p/>
    <w:p/>
    <w:p>
      <w:pPr>
        <w:pStyle w:val="7"/>
        <w:adjustRightInd w:val="0"/>
        <w:snapToGrid w:val="0"/>
        <w:spacing w:line="560" w:lineRule="exact"/>
        <w:jc w:val="center"/>
        <w:rPr>
          <w:rFonts w:ascii="TimesNewRoman" w:hAnsi="TimesNewRoman" w:eastAsia="黑体" w:cs="TimesNewRoman"/>
          <w:bCs/>
          <w:sz w:val="44"/>
          <w:szCs w:val="44"/>
        </w:rPr>
      </w:pPr>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default" w:ascii="TimesNewRoman" w:hAnsi="TimesNewRoman" w:eastAsia="黑体" w:cs="TimesNewRoman"/>
          <w:bCs/>
          <w:sz w:val="44"/>
          <w:szCs w:val="44"/>
          <w:lang w:val="en-US"/>
        </w:rPr>
        <w:t>2</w:t>
      </w:r>
      <w:r>
        <w:rPr>
          <w:rFonts w:hint="eastAsia" w:ascii="TimesNewRoman" w:hAnsi="TimesNewRoman" w:eastAsia="黑体" w:cs="TimesNewRoman"/>
          <w:bCs/>
          <w:sz w:val="44"/>
          <w:szCs w:val="44"/>
        </w:rPr>
        <w:t>月</w:t>
      </w:r>
    </w:p>
    <w:p/>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2024年收支总表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2024年收入总表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2024年支出总表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2024年财政拨款收支总表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2024年一般公共预算支出表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2024年一般公共预算基本支出表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2024年政府性基金预算支出表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2024年国有资本经营预算支出表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2024年项目支出表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2024年政府采购支出表</w:t>
      </w:r>
    </w:p>
    <w:p>
      <w:pPr>
        <w:pStyle w:val="7"/>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2024年政府购买服务支出表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土地储备发展中心</w:t>
      </w:r>
      <w:r>
        <w:rPr>
          <w:rFonts w:ascii="TimesNewRoman" w:hAnsi="TimesNewRoman" w:eastAsia="仿宋_GB2312" w:cs="TimesNewRoman"/>
          <w:bCs/>
          <w:sz w:val="32"/>
          <w:szCs w:val="32"/>
        </w:rPr>
        <w:t>2024年通用资产配置支出表</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2024年部门预算纳入绩效考评项目表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2024年部门预算专项资金管理清单（专栏公开）</w:t>
      </w:r>
    </w:p>
    <w:p>
      <w:pPr>
        <w:pStyle w:val="7"/>
        <w:adjustRightInd w:val="0"/>
        <w:snapToGrid w:val="0"/>
        <w:spacing w:line="400" w:lineRule="exact"/>
        <w:ind w:firstLine="800" w:firstLineChars="250"/>
        <w:rPr>
          <w:rFonts w:ascii="TimesNewRoman" w:hAnsi="TimesNewRoman" w:eastAsia="仿宋_GB2312" w:cs="TimesNewRoman"/>
          <w:bCs/>
          <w:sz w:val="32"/>
          <w:szCs w:val="32"/>
        </w:rPr>
      </w:pP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7"/>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r>
        <w:rPr>
          <w:rFonts w:hint="eastAsia" w:ascii="仿宋_GB2312" w:hAnsi="黑体" w:eastAsia="仿宋_GB2312"/>
          <w:bCs/>
          <w:sz w:val="32"/>
          <w:szCs w:val="32"/>
        </w:rPr>
        <w:t>（一）具体负责全市存量建设用地和城市规划区内新增建设用地的收购储备工作。</w:t>
      </w:r>
    </w:p>
    <w:p>
      <w:pPr>
        <w:pStyle w:val="7"/>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（二）承办土地使用权招标、拍卖、挂牌出让及招拍挂等用地的后期事务性工作。</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7"/>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sz w:val="32"/>
          <w:szCs w:val="32"/>
        </w:rPr>
        <w:t>2024年度部门预算仅包括</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sz w:val="32"/>
          <w:szCs w:val="32"/>
        </w:rPr>
        <w:t>本级预算，无其他下属单位预算。</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pPr>
        <w:keepNext w:val="0"/>
        <w:keepLines w:val="0"/>
        <w:pageBreakBefore w:val="0"/>
        <w:widowControl w:val="0"/>
        <w:kinsoku/>
        <w:wordWrap/>
        <w:overflowPunct/>
        <w:topLinePunct w:val="0"/>
        <w:autoSpaceDE/>
        <w:autoSpaceDN/>
        <w:bidi w:val="0"/>
        <w:spacing w:line="580" w:lineRule="exact"/>
        <w:ind w:right="-57" w:rightChars="-27" w:firstLine="640" w:firstLineChars="200"/>
        <w:textAlignment w:val="auto"/>
        <w:rPr>
          <w:rFonts w:eastAsia="仿宋_GB2312"/>
          <w:kern w:val="0"/>
          <w:sz w:val="32"/>
          <w:szCs w:val="32"/>
        </w:rPr>
      </w:pPr>
      <w:r>
        <w:rPr>
          <w:rFonts w:hint="eastAsia" w:ascii="TimesNewRoman" w:hAnsi="TimesNewRoman" w:eastAsia="仿宋_GB2312" w:cs="TimesNewRoman"/>
          <w:bCs/>
          <w:sz w:val="32"/>
          <w:szCs w:val="32"/>
        </w:rPr>
        <w:t>（一）</w:t>
      </w:r>
      <w:r>
        <w:rPr>
          <w:rFonts w:eastAsia="仿宋_GB2312"/>
          <w:b/>
          <w:kern w:val="0"/>
          <w:sz w:val="32"/>
          <w:szCs w:val="32"/>
        </w:rPr>
        <w:t>谋划编制202</w:t>
      </w:r>
      <w:r>
        <w:rPr>
          <w:rFonts w:hint="eastAsia" w:eastAsia="仿宋_GB2312"/>
          <w:b/>
          <w:kern w:val="0"/>
          <w:sz w:val="32"/>
          <w:szCs w:val="32"/>
          <w:lang w:val="en-US" w:eastAsia="zh-CN"/>
        </w:rPr>
        <w:t>4</w:t>
      </w:r>
      <w:r>
        <w:rPr>
          <w:rFonts w:eastAsia="仿宋_GB2312"/>
          <w:b/>
          <w:kern w:val="0"/>
          <w:sz w:val="32"/>
          <w:szCs w:val="32"/>
        </w:rPr>
        <w:t>年度土地储备计划。</w:t>
      </w:r>
      <w:r>
        <w:rPr>
          <w:rFonts w:eastAsia="仿宋_GB2312"/>
          <w:kern w:val="0"/>
          <w:sz w:val="32"/>
          <w:szCs w:val="32"/>
        </w:rPr>
        <w:t>为进一步发挥土地储备在履行所有者职责、落实国土空间规划和主张所有者权益方面的作用，向各区发函征求202</w:t>
      </w:r>
      <w:r>
        <w:rPr>
          <w:rFonts w:hint="eastAsia" w:eastAsia="仿宋_GB2312"/>
          <w:kern w:val="0"/>
          <w:sz w:val="32"/>
          <w:szCs w:val="32"/>
          <w:lang w:val="en-US" w:eastAsia="zh-CN"/>
        </w:rPr>
        <w:t>4</w:t>
      </w:r>
      <w:r>
        <w:rPr>
          <w:rFonts w:eastAsia="仿宋_GB2312"/>
          <w:kern w:val="0"/>
          <w:sz w:val="32"/>
          <w:szCs w:val="32"/>
        </w:rPr>
        <w:t>年度土地储备计划意见。现各区已反馈，下步将结合各区摸排情况实地踏勘，</w:t>
      </w:r>
      <w:r>
        <w:rPr>
          <w:rFonts w:hint="eastAsia" w:eastAsia="仿宋_GB2312"/>
          <w:kern w:val="0"/>
          <w:sz w:val="32"/>
          <w:szCs w:val="32"/>
          <w:lang w:eastAsia="zh-CN"/>
        </w:rPr>
        <w:t>提请市自然资源和规划委员会审议后，及时报市政府批复实施</w:t>
      </w:r>
      <w:r>
        <w:rPr>
          <w:rFonts w:eastAsia="仿宋_GB2312"/>
          <w:kern w:val="0"/>
          <w:sz w:val="32"/>
          <w:szCs w:val="32"/>
        </w:rPr>
        <w:t>。</w:t>
      </w:r>
    </w:p>
    <w:p>
      <w:pPr>
        <w:keepNext w:val="0"/>
        <w:keepLines w:val="0"/>
        <w:pageBreakBefore w:val="0"/>
        <w:widowControl w:val="0"/>
        <w:kinsoku/>
        <w:wordWrap/>
        <w:overflowPunct/>
        <w:topLinePunct w:val="0"/>
        <w:autoSpaceDE/>
        <w:autoSpaceDN/>
        <w:bidi w:val="0"/>
        <w:spacing w:line="580" w:lineRule="exact"/>
        <w:ind w:right="-57" w:rightChars="-27" w:firstLine="643" w:firstLineChars="200"/>
        <w:textAlignment w:val="auto"/>
        <w:rPr>
          <w:rFonts w:hint="eastAsia" w:eastAsia="仿宋_GB2312"/>
          <w:kern w:val="0"/>
          <w:sz w:val="32"/>
          <w:szCs w:val="32"/>
        </w:rPr>
      </w:pPr>
      <w:r>
        <w:rPr>
          <w:rFonts w:hint="eastAsia" w:eastAsia="仿宋_GB2312"/>
          <w:b/>
          <w:kern w:val="0"/>
          <w:sz w:val="32"/>
          <w:szCs w:val="32"/>
          <w:lang w:eastAsia="zh-CN"/>
        </w:rPr>
        <w:t>（二）</w:t>
      </w:r>
      <w:r>
        <w:rPr>
          <w:rFonts w:hint="eastAsia" w:eastAsia="仿宋_GB2312"/>
          <w:b/>
          <w:kern w:val="0"/>
          <w:sz w:val="32"/>
          <w:szCs w:val="32"/>
        </w:rPr>
        <w:t>严格实行“净地”储备审查。</w:t>
      </w:r>
      <w:r>
        <w:rPr>
          <w:rFonts w:hint="eastAsia" w:eastAsia="仿宋_GB2312"/>
          <w:kern w:val="0"/>
          <w:sz w:val="32"/>
          <w:szCs w:val="32"/>
        </w:rPr>
        <w:t>合理确定土地储备规模，建立“让前必储”的工作机制。坚持问题导向，对地块中存在的拆迁、权属等问题进行摸底，实事求是把问题找准找实、查深查细。及时向各区通报收储土地进展，将梳理出来的问题与辖区政府进行精准对接，充分发挥辖区政府属地管理的优势，加大征地拆迁力度，就解决存在的问题建立时间倒排机制，缩短收储土地向“净地”转化的时间。把好“净地”交付关，实现土地权利清晰、安置补偿落实到位、没有法律经济纠纷，对存在污染、文物遗存、矿产压覆等问题的地块不纳入储备库，确保“净地”入市。</w:t>
      </w:r>
    </w:p>
    <w:p>
      <w:pPr>
        <w:keepNext w:val="0"/>
        <w:keepLines w:val="0"/>
        <w:pageBreakBefore w:val="0"/>
        <w:widowControl w:val="0"/>
        <w:kinsoku/>
        <w:wordWrap/>
        <w:overflowPunct/>
        <w:topLinePunct w:val="0"/>
        <w:autoSpaceDE/>
        <w:autoSpaceDN/>
        <w:bidi w:val="0"/>
        <w:spacing w:line="580" w:lineRule="exact"/>
        <w:ind w:right="-57" w:rightChars="-27" w:firstLine="643" w:firstLineChars="200"/>
        <w:textAlignment w:val="auto"/>
        <w:rPr>
          <w:rFonts w:hint="eastAsia" w:eastAsia="仿宋_GB2312"/>
          <w:kern w:val="0"/>
          <w:sz w:val="32"/>
          <w:szCs w:val="32"/>
        </w:rPr>
      </w:pPr>
      <w:r>
        <w:rPr>
          <w:rFonts w:hint="eastAsia" w:eastAsia="仿宋_GB2312"/>
          <w:b/>
          <w:kern w:val="0"/>
          <w:sz w:val="32"/>
          <w:szCs w:val="32"/>
          <w:lang w:val="en-US" w:eastAsia="zh-CN"/>
        </w:rPr>
        <w:t>（三）</w:t>
      </w:r>
      <w:r>
        <w:rPr>
          <w:rFonts w:hint="eastAsia" w:eastAsia="仿宋_GB2312"/>
          <w:b/>
          <w:kern w:val="0"/>
          <w:sz w:val="32"/>
          <w:szCs w:val="32"/>
        </w:rPr>
        <w:t>合理安排供地</w:t>
      </w:r>
      <w:r>
        <w:rPr>
          <w:rFonts w:hint="eastAsia" w:eastAsia="仿宋_GB2312"/>
          <w:b/>
          <w:kern w:val="0"/>
          <w:sz w:val="32"/>
          <w:szCs w:val="32"/>
          <w:lang w:eastAsia="zh-CN"/>
        </w:rPr>
        <w:t>节奏和时序。</w:t>
      </w:r>
      <w:r>
        <w:rPr>
          <w:rFonts w:hint="eastAsia" w:eastAsia="仿宋_GB2312"/>
          <w:kern w:val="0"/>
          <w:sz w:val="32"/>
          <w:szCs w:val="32"/>
        </w:rPr>
        <w:t>针对市场供需关系，合理安排供地节奏、数量，力争形成均衡协调的供地结构，推动我市土地市场健康有序发展。鉴于现阶段我市面临的巨大压力，建议将明年的土地出让工作目标任务进行分解，压实各区责任。初步考虑，2024年经营性用地土地出让收入目标相山完成50%，烈山完成30%，杜集完成20%。</w:t>
      </w:r>
    </w:p>
    <w:p>
      <w:pPr>
        <w:keepNext w:val="0"/>
        <w:keepLines w:val="0"/>
        <w:pageBreakBefore w:val="0"/>
        <w:widowControl w:val="0"/>
        <w:kinsoku/>
        <w:wordWrap/>
        <w:overflowPunct/>
        <w:topLinePunct w:val="0"/>
        <w:autoSpaceDE/>
        <w:autoSpaceDN/>
        <w:bidi w:val="0"/>
        <w:spacing w:line="580" w:lineRule="exact"/>
        <w:ind w:right="-57" w:rightChars="-27" w:firstLine="643" w:firstLineChars="200"/>
        <w:textAlignment w:val="auto"/>
        <w:rPr>
          <w:rFonts w:hint="eastAsia" w:eastAsia="仿宋_GB2312"/>
          <w:kern w:val="0"/>
          <w:sz w:val="32"/>
          <w:szCs w:val="32"/>
          <w:lang w:val="en-US" w:eastAsia="zh-CN"/>
        </w:rPr>
      </w:pPr>
      <w:r>
        <w:rPr>
          <w:rFonts w:hint="eastAsia" w:eastAsia="仿宋_GB2312"/>
          <w:b/>
          <w:kern w:val="0"/>
          <w:sz w:val="32"/>
          <w:szCs w:val="32"/>
          <w:lang w:val="en-US" w:eastAsia="zh-CN"/>
        </w:rPr>
        <w:t>（四）加强部门协作。</w:t>
      </w:r>
      <w:r>
        <w:rPr>
          <w:rFonts w:hint="eastAsia" w:eastAsia="仿宋_GB2312"/>
          <w:kern w:val="0"/>
          <w:sz w:val="32"/>
          <w:szCs w:val="32"/>
          <w:lang w:val="en-US" w:eastAsia="zh-CN"/>
        </w:rPr>
        <w:t>辖区政府要牢固树立全市“一盘棋”思想，高度重视、主动作为，切实加强协作，全力做好拟收储及上市宗地的征收安置补偿及地面附属物拆迁等工作，真正做到“净地”收储、“净地”出让，严格按照计划时间节点做好明年土地出让工作。建议各区尽快明确2024年拟出让经营性用地计划中涉及地块的净地交付时间，具体到月份；市住建局征收安置中心负责将2024年出让计划涉及地块纳入年度征收计划，定期实施调度，督促辖区政府按承诺时间节点完成拟出让地块房屋及土地征收。</w:t>
      </w:r>
    </w:p>
    <w:p>
      <w:pPr>
        <w:keepNext w:val="0"/>
        <w:keepLines w:val="0"/>
        <w:pageBreakBefore w:val="0"/>
        <w:widowControl w:val="0"/>
        <w:kinsoku/>
        <w:wordWrap/>
        <w:overflowPunct/>
        <w:topLinePunct w:val="0"/>
        <w:autoSpaceDE/>
        <w:autoSpaceDN/>
        <w:bidi w:val="0"/>
        <w:spacing w:line="580" w:lineRule="exact"/>
        <w:ind w:right="-57" w:rightChars="-27" w:firstLine="643" w:firstLineChars="200"/>
        <w:textAlignment w:val="auto"/>
        <w:rPr>
          <w:rFonts w:hint="eastAsia" w:eastAsia="仿宋_GB2312"/>
          <w:kern w:val="0"/>
          <w:sz w:val="32"/>
          <w:szCs w:val="32"/>
          <w:lang w:val="en-US" w:eastAsia="zh-CN"/>
        </w:rPr>
      </w:pPr>
      <w:r>
        <w:rPr>
          <w:rFonts w:hint="eastAsia" w:eastAsia="仿宋_GB2312"/>
          <w:b/>
          <w:kern w:val="0"/>
          <w:sz w:val="32"/>
          <w:szCs w:val="32"/>
          <w:lang w:val="en-US" w:eastAsia="zh-CN"/>
        </w:rPr>
        <w:t>（五）加大招商推介力度。</w:t>
      </w:r>
      <w:r>
        <w:rPr>
          <w:rFonts w:hint="eastAsia" w:eastAsia="仿宋_GB2312"/>
          <w:kern w:val="0"/>
          <w:sz w:val="32"/>
          <w:szCs w:val="32"/>
          <w:lang w:val="en-US" w:eastAsia="zh-CN"/>
        </w:rPr>
        <w:t>辖区政府要科学分析市场需求，选择优质地块进行精准招商推介，尽最大努力争取市场化拿地，减轻平台公司托底压力。建议各区系统谋划，提前准备好当前阶段拟供宗地，落实好拆迁补偿和土地报批工作；高度重视土地出让工作，加大招商推介力度，每个月至少“走出去”一次，确保招商推介工作常态化。</w:t>
      </w:r>
    </w:p>
    <w:p>
      <w:pPr>
        <w:keepNext w:val="0"/>
        <w:keepLines w:val="0"/>
        <w:pageBreakBefore w:val="0"/>
        <w:widowControl w:val="0"/>
        <w:kinsoku/>
        <w:wordWrap/>
        <w:overflowPunct/>
        <w:topLinePunct w:val="0"/>
        <w:autoSpaceDE/>
        <w:autoSpaceDN/>
        <w:bidi w:val="0"/>
        <w:spacing w:line="580" w:lineRule="exact"/>
        <w:ind w:right="-57" w:rightChars="-27" w:firstLine="643" w:firstLineChars="200"/>
        <w:textAlignment w:val="auto"/>
        <w:rPr>
          <w:rFonts w:hint="eastAsia" w:eastAsia="仿宋_GB2312"/>
          <w:kern w:val="0"/>
          <w:sz w:val="32"/>
          <w:szCs w:val="32"/>
          <w:lang w:val="en-US" w:eastAsia="zh-CN"/>
        </w:rPr>
      </w:pPr>
      <w:r>
        <w:rPr>
          <w:rFonts w:hint="eastAsia" w:eastAsia="仿宋_GB2312"/>
          <w:b/>
          <w:kern w:val="0"/>
          <w:sz w:val="32"/>
          <w:szCs w:val="32"/>
          <w:lang w:val="en-US" w:eastAsia="zh-CN"/>
        </w:rPr>
        <w:t>（六）积极落实工业用地出让整改工作。</w:t>
      </w:r>
      <w:r>
        <w:rPr>
          <w:rFonts w:hint="eastAsia" w:eastAsia="仿宋_GB2312"/>
          <w:kern w:val="0"/>
          <w:sz w:val="32"/>
          <w:szCs w:val="32"/>
          <w:lang w:val="en-US" w:eastAsia="zh-CN"/>
        </w:rPr>
        <w:t>建议按照《安徽省人民政府关于进一步规范系统重大事项决策行为的意见》（皖政〔2014〕72号）要求，工业用地经区招商引资预审会议、部门办公会议（局业务会、局务会）研究，由市政府专题会议、市自然资源和规划委员会会议等议事机构集体决策后，上报市政府批准后实施挂牌出让。同时，工业用地也要报年度供应计划，未纳入计划不能供地；按照省自然资源厅文件要求，今后工业用地只能采用弹性年期出让（出让年限一般不超过20年）、长期租赁、先租后让三种方式，在办理具体工业项目供地手续时，各区要超前运作、提前对接，将下月拟供工业用地明确供应方式后，提前一个月报送至市自然资源和规划局，我局及时提交市政府相关会议研究。</w:t>
      </w:r>
    </w:p>
    <w:p>
      <w:pPr>
        <w:keepNext w:val="0"/>
        <w:keepLines w:val="0"/>
        <w:pageBreakBefore w:val="0"/>
        <w:widowControl w:val="0"/>
        <w:kinsoku/>
        <w:wordWrap/>
        <w:overflowPunct/>
        <w:topLinePunct w:val="0"/>
        <w:autoSpaceDE/>
        <w:autoSpaceDN/>
        <w:bidi w:val="0"/>
        <w:spacing w:line="580" w:lineRule="exact"/>
        <w:ind w:right="-57" w:rightChars="-27" w:firstLine="640" w:firstLineChars="200"/>
        <w:textAlignment w:val="auto"/>
        <w:rPr>
          <w:rFonts w:hint="eastAsia" w:eastAsia="仿宋_GB2312"/>
          <w:kern w:val="0"/>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420" w:firstLineChars="200"/>
        <w:textAlignment w:val="auto"/>
      </w:pPr>
    </w:p>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2024年单位预算表</w:t>
      </w:r>
    </w:p>
    <w:p>
      <w:pPr>
        <w:pStyle w:val="7"/>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2024年单位预算情况说明</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7"/>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sz w:val="32"/>
          <w:szCs w:val="32"/>
        </w:rPr>
        <w:t>2024年收支总预算</w:t>
      </w:r>
      <w:r>
        <w:rPr>
          <w:rFonts w:hint="default" w:ascii="TimesNewRoman" w:hAnsi="TimesNewRoman" w:eastAsia="仿宋_GB2312" w:cs="TimesNewRoman"/>
          <w:sz w:val="32"/>
          <w:szCs w:val="32"/>
          <w:lang w:val="en-US"/>
        </w:rPr>
        <w:t>677.99</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TimesNewRoman" w:hAnsi="TimesNewRoman" w:eastAsia="仿宋_GB2312" w:cs="TimesNewRoman"/>
          <w:sz w:val="32"/>
          <w:szCs w:val="32"/>
          <w:lang w:eastAsia="zh-CN"/>
        </w:rPr>
        <w:t>城乡社区支出、自然资源和海洋气象等支出、</w:t>
      </w:r>
      <w:r>
        <w:rPr>
          <w:rFonts w:hint="eastAsia" w:ascii="TimesNewRoman" w:hAnsi="TimesNewRoman" w:eastAsia="仿宋_GB2312" w:cs="TimesNewRoman"/>
          <w:sz w:val="32"/>
          <w:szCs w:val="32"/>
        </w:rPr>
        <w:t>住房保障支出。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2024年收入预算</w:t>
      </w:r>
      <w:r>
        <w:rPr>
          <w:rFonts w:hint="default" w:ascii="TimesNewRoman" w:hAnsi="TimesNewRoman" w:eastAsia="仿宋_GB2312" w:cs="TimesNewRoman"/>
          <w:kern w:val="0"/>
          <w:sz w:val="32"/>
          <w:szCs w:val="32"/>
          <w:lang w:val="en-US"/>
        </w:rPr>
        <w:t>677.99</w:t>
      </w:r>
      <w:r>
        <w:rPr>
          <w:rFonts w:hint="eastAsia" w:ascii="TimesNewRoman" w:hAnsi="TimesNewRoman" w:eastAsia="仿宋_GB2312" w:cs="TimesNewRoman"/>
          <w:kern w:val="0"/>
          <w:sz w:val="32"/>
          <w:szCs w:val="32"/>
        </w:rPr>
        <w:t>万元，其中，本年收入</w:t>
      </w:r>
      <w:r>
        <w:rPr>
          <w:rFonts w:hint="default" w:ascii="TimesNewRoman" w:hAnsi="TimesNewRoman" w:eastAsia="仿宋_GB2312" w:cs="TimesNewRoman"/>
          <w:kern w:val="0"/>
          <w:sz w:val="32"/>
          <w:szCs w:val="32"/>
          <w:lang w:val="en-US"/>
        </w:rPr>
        <w:t>677.99</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（一）本年收入</w:t>
      </w:r>
      <w:r>
        <w:rPr>
          <w:rFonts w:hint="default" w:ascii="TimesNewRoman" w:hAnsi="TimesNewRoman" w:eastAsia="仿宋_GB2312" w:cs="TimesNewRoman"/>
          <w:b/>
          <w:kern w:val="0"/>
          <w:sz w:val="32"/>
          <w:szCs w:val="32"/>
          <w:lang w:val="en-US"/>
        </w:rPr>
        <w:t>677.99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default" w:ascii="TimesNewRoman" w:hAnsi="TimesNewRoman" w:eastAsia="仿宋_GB2312" w:cs="TimesNewRoman"/>
          <w:kern w:val="0"/>
          <w:sz w:val="32"/>
          <w:szCs w:val="32"/>
          <w:lang w:val="en-US"/>
        </w:rPr>
        <w:t>377.79</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55.72</w:t>
      </w:r>
      <w:r>
        <w:rPr>
          <w:rFonts w:hint="eastAsia" w:ascii="TimesNewRoman" w:hAnsi="TimesNewRoman" w:eastAsia="仿宋_GB2312" w:cs="TimesNewRoman"/>
          <w:kern w:val="0"/>
          <w:sz w:val="32"/>
          <w:szCs w:val="32"/>
        </w:rPr>
        <w:t>%，比2023年预算增加</w:t>
      </w:r>
      <w:r>
        <w:rPr>
          <w:rFonts w:hint="default" w:ascii="TimesNewRoman" w:hAnsi="TimesNewRoman" w:eastAsia="仿宋_GB2312" w:cs="TimesNewRoman"/>
          <w:kern w:val="0"/>
          <w:sz w:val="32"/>
          <w:szCs w:val="32"/>
          <w:lang w:val="en-US"/>
        </w:rPr>
        <w:t>28.28</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8.09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；政府性基金预算拨款收入</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44.28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；财政专户管理资金收入</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2024年支出预算</w:t>
      </w:r>
      <w:r>
        <w:rPr>
          <w:rFonts w:hint="default" w:ascii="TimesNewRoman" w:hAnsi="TimesNewRoman" w:eastAsia="仿宋_GB2312" w:cs="TimesNewRoman"/>
          <w:kern w:val="0"/>
          <w:sz w:val="32"/>
          <w:szCs w:val="32"/>
          <w:lang w:val="en-US"/>
        </w:rPr>
        <w:t>677.99</w:t>
      </w:r>
      <w:r>
        <w:rPr>
          <w:rFonts w:hint="eastAsia" w:ascii="TimesNewRoman" w:hAnsi="TimesNewRoman" w:eastAsia="仿宋_GB2312" w:cs="TimesNewRoman"/>
          <w:kern w:val="0"/>
          <w:sz w:val="32"/>
          <w:szCs w:val="32"/>
        </w:rPr>
        <w:t>万元，比2023年预算增加</w:t>
      </w:r>
      <w:r>
        <w:rPr>
          <w:rFonts w:hint="default" w:ascii="TimesNewRoman" w:hAnsi="TimesNewRoman" w:eastAsia="仿宋_GB2312" w:cs="TimesNewRoman"/>
          <w:kern w:val="0"/>
          <w:sz w:val="32"/>
          <w:szCs w:val="32"/>
          <w:lang w:val="en-US"/>
        </w:rPr>
        <w:t>28.28</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4.17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人员变动和增加提租补贴支出</w:t>
      </w:r>
      <w:r>
        <w:rPr>
          <w:rFonts w:hint="eastAsia" w:ascii="TimesNewRoman" w:hAnsi="TimesNewRoman" w:eastAsia="仿宋_GB2312" w:cs="TimesNewRoman"/>
          <w:kern w:val="0"/>
          <w:sz w:val="32"/>
          <w:szCs w:val="32"/>
        </w:rPr>
        <w:t>。其中，基本支出</w:t>
      </w:r>
      <w:r>
        <w:rPr>
          <w:rFonts w:hint="default" w:ascii="TimesNewRoman" w:hAnsi="TimesNewRoman" w:eastAsia="仿宋_GB2312" w:cs="TimesNewRoman"/>
          <w:kern w:val="0"/>
          <w:sz w:val="32"/>
          <w:szCs w:val="32"/>
          <w:lang w:val="en-US"/>
        </w:rPr>
        <w:t>377.79</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55.72</w:t>
      </w:r>
      <w:r>
        <w:rPr>
          <w:rFonts w:hint="eastAsia" w:ascii="TimesNewRoman" w:hAnsi="TimesNewRoman" w:eastAsia="仿宋_GB2312" w:cs="TimesNewRoman"/>
          <w:kern w:val="0"/>
          <w:sz w:val="32"/>
          <w:szCs w:val="32"/>
        </w:rPr>
        <w:t>%，主要用于保障机构日常运转、完成日常工作任务；项目支出</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44.28</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单位项目支出</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2024年财政拨款收支预算</w:t>
      </w:r>
      <w:r>
        <w:rPr>
          <w:rFonts w:hint="default" w:ascii="TimesNewRoman" w:hAnsi="TimesNewRoman" w:eastAsia="仿宋_GB2312" w:cs="TimesNewRoman"/>
          <w:kern w:val="0"/>
          <w:sz w:val="32"/>
          <w:szCs w:val="32"/>
          <w:lang w:val="en-US"/>
        </w:rPr>
        <w:t>677.99</w:t>
      </w:r>
      <w:r>
        <w:rPr>
          <w:rFonts w:hint="eastAsia" w:ascii="TimesNewRoman" w:hAnsi="TimesNewRoman" w:eastAsia="仿宋_GB2312" w:cs="TimesNewRoman"/>
          <w:kern w:val="0"/>
          <w:sz w:val="32"/>
          <w:szCs w:val="32"/>
        </w:rPr>
        <w:t>万元。收入按资金来源分为：一般公共预算拨款</w:t>
      </w:r>
      <w:r>
        <w:rPr>
          <w:rFonts w:hint="default" w:ascii="TimesNewRoman" w:hAnsi="TimesNewRoman" w:eastAsia="仿宋_GB2312" w:cs="TimesNewRoman"/>
          <w:kern w:val="0"/>
          <w:sz w:val="32"/>
          <w:szCs w:val="32"/>
          <w:lang w:val="en-US"/>
        </w:rPr>
        <w:t>377.79</w:t>
      </w:r>
      <w:r>
        <w:rPr>
          <w:rFonts w:hint="eastAsia" w:ascii="TimesNewRoman" w:hAnsi="TimesNewRoman" w:eastAsia="仿宋_GB2312" w:cs="TimesNewRoman"/>
          <w:kern w:val="0"/>
          <w:sz w:val="32"/>
          <w:szCs w:val="32"/>
        </w:rPr>
        <w:t>万元、政府性基金预算拨款</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万元；按资金年度分为：本年财政拨款收入</w:t>
      </w:r>
      <w:r>
        <w:rPr>
          <w:rFonts w:hint="default" w:ascii="TimesNewRoman" w:hAnsi="TimesNewRoman" w:eastAsia="仿宋_GB2312" w:cs="TimesNewRoman"/>
          <w:kern w:val="0"/>
          <w:sz w:val="32"/>
          <w:szCs w:val="32"/>
          <w:lang w:val="en-US"/>
        </w:rPr>
        <w:t>677.99</w:t>
      </w:r>
      <w:r>
        <w:rPr>
          <w:rFonts w:hint="eastAsia" w:ascii="TimesNewRoman" w:hAnsi="TimesNewRoman" w:eastAsia="仿宋_GB2312" w:cs="TimesNewRoman"/>
          <w:kern w:val="0"/>
          <w:sz w:val="32"/>
          <w:szCs w:val="32"/>
        </w:rPr>
        <w:t>万元。支出按功能分类分为：社会保障和就业支出</w:t>
      </w:r>
      <w:r>
        <w:rPr>
          <w:rFonts w:hint="default" w:ascii="TimesNewRoman" w:hAnsi="TimesNewRoman" w:eastAsia="仿宋_GB2312" w:cs="TimesNewRoman"/>
          <w:kern w:val="0"/>
          <w:sz w:val="32"/>
          <w:szCs w:val="32"/>
          <w:lang w:val="en-US"/>
        </w:rPr>
        <w:t>57.12</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8.42</w:t>
      </w:r>
      <w:r>
        <w:rPr>
          <w:rFonts w:hint="eastAsia" w:ascii="TimesNewRoman" w:hAnsi="TimesNewRoman" w:eastAsia="仿宋_GB2312" w:cs="TimesNewRoman"/>
          <w:kern w:val="0"/>
          <w:sz w:val="32"/>
          <w:szCs w:val="32"/>
        </w:rPr>
        <w:t>%；卫生健康支出</w:t>
      </w:r>
      <w:r>
        <w:rPr>
          <w:rFonts w:hint="default" w:ascii="TimesNewRoman" w:hAnsi="TimesNewRoman" w:eastAsia="仿宋_GB2312" w:cs="TimesNewRoman"/>
          <w:kern w:val="0"/>
          <w:sz w:val="32"/>
          <w:szCs w:val="32"/>
          <w:lang w:val="en-US"/>
        </w:rPr>
        <w:t>17.68</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2.61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default" w:ascii="TimesNewRoman" w:hAnsi="TimesNewRoman" w:eastAsia="仿宋_GB2312" w:cs="TimesNewRoman"/>
          <w:kern w:val="0"/>
          <w:sz w:val="32"/>
          <w:szCs w:val="32"/>
          <w:lang w:val="en-US" w:eastAsia="zh-CN"/>
        </w:rPr>
        <w:t>300.20</w:t>
      </w:r>
      <w:r>
        <w:rPr>
          <w:rFonts w:hint="eastAsia" w:ascii="TimesNewRoman" w:hAnsi="TimesNewRoman" w:eastAsia="仿宋_GB2312" w:cs="TimesNewRoman"/>
          <w:kern w:val="0"/>
          <w:sz w:val="32"/>
          <w:szCs w:val="32"/>
          <w:lang w:val="en-US" w:eastAsia="zh-CN"/>
        </w:rPr>
        <w:t>万元，</w:t>
      </w:r>
      <w:r>
        <w:rPr>
          <w:rFonts w:hint="eastAsia" w:ascii="TimesNewRoman" w:hAnsi="TimesNewRoman" w:eastAsia="仿宋_GB2312" w:cs="TimesNewRoman"/>
          <w:kern w:val="0"/>
          <w:sz w:val="32"/>
          <w:szCs w:val="32"/>
        </w:rPr>
        <w:t>占</w:t>
      </w:r>
      <w:r>
        <w:rPr>
          <w:rFonts w:hint="default" w:ascii="TimesNewRoman" w:hAnsi="TimesNewRoman" w:eastAsia="仿宋_GB2312" w:cs="TimesNewRoman"/>
          <w:kern w:val="0"/>
          <w:sz w:val="32"/>
          <w:szCs w:val="32"/>
          <w:lang w:val="en-US"/>
        </w:rPr>
        <w:t>44.28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自然资源海洋气象等支出</w:t>
      </w:r>
      <w:r>
        <w:rPr>
          <w:rFonts w:hint="default" w:ascii="TimesNewRoman" w:hAnsi="TimesNewRoman" w:eastAsia="仿宋_GB2312" w:cs="TimesNewRoman"/>
          <w:kern w:val="0"/>
          <w:sz w:val="32"/>
          <w:szCs w:val="32"/>
          <w:lang w:val="en-US" w:eastAsia="zh-CN"/>
        </w:rPr>
        <w:t>241.49</w:t>
      </w:r>
      <w:r>
        <w:rPr>
          <w:rFonts w:hint="eastAsia" w:ascii="TimesNewRoman" w:hAnsi="TimesNewRoman" w:eastAsia="仿宋_GB2312" w:cs="TimesNewRoman"/>
          <w:kern w:val="0"/>
          <w:sz w:val="32"/>
          <w:szCs w:val="32"/>
          <w:lang w:val="en-US" w:eastAsia="zh-CN"/>
        </w:rPr>
        <w:t>万元，</w:t>
      </w:r>
      <w:r>
        <w:rPr>
          <w:rFonts w:hint="eastAsia" w:ascii="TimesNewRoman" w:hAnsi="TimesNewRoman" w:eastAsia="仿宋_GB2312" w:cs="TimesNewRoman"/>
          <w:kern w:val="0"/>
          <w:sz w:val="32"/>
          <w:szCs w:val="32"/>
        </w:rPr>
        <w:t>占</w:t>
      </w:r>
      <w:r>
        <w:rPr>
          <w:rFonts w:hint="default" w:ascii="TimesNewRoman" w:hAnsi="TimesNewRoman" w:eastAsia="仿宋_GB2312" w:cs="TimesNewRoman"/>
          <w:kern w:val="0"/>
          <w:sz w:val="32"/>
          <w:szCs w:val="32"/>
          <w:lang w:val="en-US"/>
        </w:rPr>
        <w:t>35.62</w:t>
      </w:r>
      <w:r>
        <w:rPr>
          <w:rFonts w:hint="eastAsia" w:ascii="TimesNewRoman" w:hAnsi="TimesNewRoman" w:eastAsia="仿宋_GB2312" w:cs="TimesNewRoman"/>
          <w:kern w:val="0"/>
          <w:sz w:val="32"/>
          <w:szCs w:val="32"/>
        </w:rPr>
        <w:t>%；住房保障支出</w:t>
      </w:r>
      <w:r>
        <w:rPr>
          <w:rFonts w:hint="default" w:ascii="TimesNewRoman" w:hAnsi="TimesNewRoman" w:eastAsia="仿宋_GB2312" w:cs="TimesNewRoman"/>
          <w:kern w:val="0"/>
          <w:sz w:val="32"/>
          <w:szCs w:val="32"/>
          <w:lang w:val="en-US"/>
        </w:rPr>
        <w:t>61.51</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9.07</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2024年一般公共预算支出</w:t>
      </w:r>
      <w:r>
        <w:rPr>
          <w:rFonts w:hint="default" w:ascii="TimesNewRoman" w:hAnsi="TimesNewRoman" w:eastAsia="仿宋_GB2312" w:cs="TimesNewRoman"/>
          <w:kern w:val="0"/>
          <w:sz w:val="32"/>
          <w:szCs w:val="32"/>
          <w:lang w:val="en-US"/>
        </w:rPr>
        <w:t>377.79</w:t>
      </w:r>
      <w:r>
        <w:rPr>
          <w:rFonts w:hint="eastAsia" w:ascii="TimesNewRoman" w:hAnsi="TimesNewRoman" w:eastAsia="仿宋_GB2312" w:cs="TimesNewRoman"/>
          <w:kern w:val="0"/>
          <w:sz w:val="32"/>
          <w:szCs w:val="32"/>
        </w:rPr>
        <w:t>万元，比2023年预算增加</w:t>
      </w:r>
      <w:r>
        <w:rPr>
          <w:rFonts w:hint="default" w:ascii="TimesNewRoman" w:hAnsi="TimesNewRoman" w:eastAsia="仿宋_GB2312" w:cs="TimesNewRoman"/>
          <w:kern w:val="0"/>
          <w:sz w:val="32"/>
          <w:szCs w:val="32"/>
          <w:lang w:val="en-US"/>
        </w:rPr>
        <w:t>28.28</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8.09</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eastAsia="zh-CN"/>
        </w:rPr>
        <w:t>社保、公积金基数调整、增加了提租补贴支出</w:t>
      </w:r>
      <w:r>
        <w:rPr>
          <w:rFonts w:hint="eastAsia" w:ascii="TimesNewRoman" w:hAnsi="TimesNewRoman" w:eastAsia="仿宋_GB2312" w:cs="TimesNewRoman"/>
          <w:kern w:val="0"/>
          <w:sz w:val="32"/>
          <w:szCs w:val="32"/>
        </w:rPr>
        <w:t>。</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default" w:ascii="TimesNewRoman" w:hAnsi="TimesNewRoman" w:eastAsia="仿宋_GB2312" w:cs="TimesNewRoman"/>
          <w:kern w:val="0"/>
          <w:sz w:val="32"/>
          <w:szCs w:val="32"/>
          <w:lang w:val="en-US"/>
        </w:rPr>
        <w:t>57.12</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15.12</w:t>
      </w:r>
      <w:r>
        <w:rPr>
          <w:rFonts w:hint="eastAsia" w:ascii="TimesNewRoman" w:hAnsi="TimesNewRoman" w:eastAsia="仿宋_GB2312" w:cs="TimesNewRoman"/>
          <w:kern w:val="0"/>
          <w:sz w:val="32"/>
          <w:szCs w:val="32"/>
        </w:rPr>
        <w:t>%；卫生健康支出</w:t>
      </w:r>
      <w:r>
        <w:rPr>
          <w:rFonts w:hint="default" w:ascii="TimesNewRoman" w:hAnsi="TimesNewRoman" w:eastAsia="仿宋_GB2312" w:cs="TimesNewRoman"/>
          <w:kern w:val="0"/>
          <w:sz w:val="32"/>
          <w:szCs w:val="32"/>
          <w:lang w:val="en-US"/>
        </w:rPr>
        <w:t>17.68</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4.68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自然资源海洋气象等支出</w:t>
      </w:r>
      <w:r>
        <w:rPr>
          <w:rFonts w:hint="default" w:ascii="TimesNewRoman" w:hAnsi="TimesNewRoman" w:eastAsia="仿宋_GB2312" w:cs="TimesNewRoman"/>
          <w:kern w:val="0"/>
          <w:sz w:val="32"/>
          <w:szCs w:val="32"/>
          <w:lang w:val="en-US" w:eastAsia="zh-CN"/>
        </w:rPr>
        <w:t>241.49</w:t>
      </w:r>
      <w:r>
        <w:rPr>
          <w:rFonts w:hint="eastAsia" w:ascii="TimesNewRoman" w:hAnsi="TimesNewRoman" w:eastAsia="仿宋_GB2312" w:cs="TimesNewRoman"/>
          <w:kern w:val="0"/>
          <w:sz w:val="32"/>
          <w:szCs w:val="32"/>
          <w:lang w:val="en-US" w:eastAsia="zh-CN"/>
        </w:rPr>
        <w:t>万元，</w:t>
      </w:r>
      <w:r>
        <w:rPr>
          <w:rFonts w:hint="eastAsia" w:ascii="TimesNewRoman" w:hAnsi="TimesNewRoman" w:eastAsia="仿宋_GB2312" w:cs="TimesNewRoman"/>
          <w:kern w:val="0"/>
          <w:sz w:val="32"/>
          <w:szCs w:val="32"/>
        </w:rPr>
        <w:t>占</w:t>
      </w:r>
      <w:r>
        <w:rPr>
          <w:rFonts w:hint="default" w:ascii="TimesNewRoman" w:hAnsi="TimesNewRoman" w:eastAsia="仿宋_GB2312" w:cs="TimesNewRoman"/>
          <w:kern w:val="0"/>
          <w:sz w:val="32"/>
          <w:szCs w:val="32"/>
          <w:lang w:val="en-US"/>
        </w:rPr>
        <w:t>63.92</w:t>
      </w:r>
      <w:r>
        <w:rPr>
          <w:rFonts w:hint="eastAsia" w:ascii="TimesNewRoman" w:hAnsi="TimesNewRoman" w:eastAsia="仿宋_GB2312" w:cs="TimesNewRoman"/>
          <w:kern w:val="0"/>
          <w:sz w:val="32"/>
          <w:szCs w:val="32"/>
        </w:rPr>
        <w:t>%；住房保障支出</w:t>
      </w:r>
      <w:r>
        <w:rPr>
          <w:rFonts w:hint="default" w:ascii="TimesNewRoman" w:hAnsi="TimesNewRoman" w:eastAsia="仿宋_GB2312" w:cs="TimesNewRoman"/>
          <w:kern w:val="0"/>
          <w:sz w:val="32"/>
          <w:szCs w:val="32"/>
          <w:lang w:val="en-US"/>
        </w:rPr>
        <w:t>61.51</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16.28</w:t>
      </w:r>
      <w:r>
        <w:rPr>
          <w:rFonts w:hint="eastAsia" w:ascii="TimesNewRoman" w:hAnsi="TimesNewRoman" w:eastAsia="仿宋_GB2312" w:cs="TimesNewRoman"/>
          <w:kern w:val="0"/>
          <w:sz w:val="32"/>
          <w:szCs w:val="32"/>
        </w:rPr>
        <w:t>%。</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1</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（款）归口管理的事业单位离退休（项）2024年预算</w:t>
      </w:r>
      <w:r>
        <w:rPr>
          <w:rFonts w:hint="default" w:ascii="TimesNewRoman" w:hAnsi="TimesNewRoman" w:eastAsia="仿宋_GB2312" w:cs="TimesNewRoman"/>
          <w:kern w:val="0"/>
          <w:sz w:val="32"/>
          <w:szCs w:val="32"/>
          <w:lang w:val="en-US"/>
        </w:rPr>
        <w:t>5.98</w:t>
      </w:r>
      <w:r>
        <w:rPr>
          <w:rFonts w:hint="eastAsia" w:ascii="TimesNewRoman" w:hAnsi="TimesNewRoman" w:eastAsia="仿宋_GB2312" w:cs="TimesNewRoman"/>
          <w:kern w:val="0"/>
          <w:sz w:val="32"/>
          <w:szCs w:val="32"/>
        </w:rPr>
        <w:t>万元，比2023年预算增加</w:t>
      </w:r>
      <w:r>
        <w:rPr>
          <w:rFonts w:hint="default" w:ascii="TimesNewRoman" w:hAnsi="TimesNewRoman" w:eastAsia="仿宋_GB2312" w:cs="TimesNewRoman"/>
          <w:kern w:val="0"/>
          <w:sz w:val="32"/>
          <w:szCs w:val="32"/>
          <w:lang w:val="en-US"/>
        </w:rPr>
        <w:t>0.5</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9.12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增加提租补贴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2</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（款）归口管理的</w:t>
      </w:r>
      <w:r>
        <w:rPr>
          <w:rFonts w:hint="eastAsia" w:ascii="TimesNewRoman" w:hAnsi="TimesNewRoman" w:eastAsia="仿宋_GB2312" w:cs="TimesNewRoman"/>
          <w:kern w:val="0"/>
          <w:sz w:val="32"/>
          <w:szCs w:val="32"/>
          <w:lang w:eastAsia="zh-CN"/>
        </w:rPr>
        <w:t>机关</w:t>
      </w:r>
      <w:r>
        <w:rPr>
          <w:rFonts w:hint="eastAsia" w:ascii="TimesNewRoman" w:hAnsi="TimesNewRoman" w:eastAsia="仿宋_GB2312" w:cs="TimesNewRoman"/>
          <w:kern w:val="0"/>
          <w:sz w:val="32"/>
          <w:szCs w:val="32"/>
        </w:rPr>
        <w:t>事业单位</w:t>
      </w:r>
      <w:r>
        <w:rPr>
          <w:rFonts w:hint="eastAsia" w:ascii="TimesNewRoman" w:hAnsi="TimesNewRoman" w:eastAsia="仿宋_GB2312" w:cs="TimesNewRoman"/>
          <w:kern w:val="0"/>
          <w:sz w:val="32"/>
          <w:szCs w:val="32"/>
          <w:lang w:eastAsia="zh-CN"/>
        </w:rPr>
        <w:t>基本养老保险缴费支出</w:t>
      </w:r>
      <w:r>
        <w:rPr>
          <w:rFonts w:hint="eastAsia" w:ascii="TimesNewRoman" w:hAnsi="TimesNewRoman" w:eastAsia="仿宋_GB2312" w:cs="TimesNewRoman"/>
          <w:kern w:val="0"/>
          <w:sz w:val="32"/>
          <w:szCs w:val="32"/>
        </w:rPr>
        <w:t>（项）2024年预算</w:t>
      </w:r>
      <w:r>
        <w:rPr>
          <w:rFonts w:hint="default" w:ascii="TimesNewRoman" w:hAnsi="TimesNewRoman" w:eastAsia="仿宋_GB2312" w:cs="TimesNewRoman"/>
          <w:kern w:val="0"/>
          <w:sz w:val="32"/>
          <w:szCs w:val="32"/>
          <w:lang w:val="en-US"/>
        </w:rPr>
        <w:t>33.39</w:t>
      </w:r>
      <w:r>
        <w:rPr>
          <w:rFonts w:hint="eastAsia" w:ascii="TimesNewRoman" w:hAnsi="TimesNewRoman" w:eastAsia="仿宋_GB2312" w:cs="TimesNewRoman"/>
          <w:kern w:val="0"/>
          <w:sz w:val="32"/>
          <w:szCs w:val="32"/>
        </w:rPr>
        <w:t>万元，比2023年预算增加</w:t>
      </w:r>
      <w:r>
        <w:rPr>
          <w:rFonts w:hint="default" w:ascii="TimesNewRoman" w:hAnsi="TimesNewRoman" w:eastAsia="仿宋_GB2312" w:cs="TimesNewRoman"/>
          <w:kern w:val="0"/>
          <w:sz w:val="32"/>
          <w:szCs w:val="32"/>
          <w:lang w:val="en-US"/>
        </w:rPr>
        <w:t>2.35</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7.57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人员变动和社保基数调整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3</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社会保障和就业支出（类）行政事业单位养老支出（款）机关事业单位职业年金缴费支出（项）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16.69</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1.17</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7.54</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TimesNewRoman" w:hAnsi="TimesNewRoman" w:eastAsia="仿宋_GB2312" w:cs="TimesNewRoman"/>
          <w:kern w:val="0"/>
          <w:sz w:val="32"/>
          <w:szCs w:val="32"/>
          <w:lang w:eastAsia="zh-CN"/>
        </w:rPr>
        <w:t>人员变动和社保基数调整</w:t>
      </w:r>
      <w:r>
        <w:rPr>
          <w:rFonts w:hint="eastAsia" w:ascii="TimesNewRoman" w:hAnsi="TimesNewRoman" w:eastAsia="仿宋_GB2312" w:cs="TimesNewRoman"/>
          <w:kern w:val="0"/>
          <w:sz w:val="32"/>
          <w:szCs w:val="32"/>
        </w:rPr>
        <w:t>。</w:t>
      </w:r>
    </w:p>
    <w:p>
      <w:pPr>
        <w:adjustRightInd w:val="0"/>
        <w:snapToGrid w:val="0"/>
        <w:spacing w:line="600" w:lineRule="exact"/>
        <w:ind w:firstLine="643" w:firstLineChars="200"/>
        <w:rPr>
          <w:rFonts w:hint="default" w:ascii="仿宋_GB2312" w:hAnsi="仿宋" w:eastAsia="仿宋_GB2312"/>
          <w:sz w:val="32"/>
          <w:szCs w:val="32"/>
          <w:lang w:val="en-US"/>
        </w:rPr>
      </w:pPr>
      <w:r>
        <w:rPr>
          <w:rFonts w:hint="default" w:ascii="仿宋_GB2312" w:hAnsi="仿宋" w:eastAsia="仿宋_GB2312"/>
          <w:b/>
          <w:sz w:val="32"/>
          <w:szCs w:val="32"/>
          <w:lang w:val="en-US" w:eastAsia="zh-CN"/>
        </w:rPr>
        <w:t>4</w:t>
      </w:r>
      <w:r>
        <w:rPr>
          <w:rFonts w:hint="eastAsia" w:ascii="仿宋_GB2312" w:hAnsi="仿宋" w:eastAsia="仿宋_GB2312"/>
          <w:b/>
          <w:sz w:val="32"/>
          <w:szCs w:val="32"/>
        </w:rPr>
        <w:t>.</w:t>
      </w:r>
      <w:r>
        <w:rPr>
          <w:rFonts w:hint="eastAsia" w:ascii="仿宋_GB2312" w:hAnsi="仿宋" w:eastAsia="仿宋_GB2312"/>
          <w:sz w:val="32"/>
          <w:szCs w:val="32"/>
        </w:rPr>
        <w:t>社会保障和就业支出（类）其他社会保障和就业支出（款）其他社会保障和就业支出（项）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1.06</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default" w:ascii="TimesNewRoman" w:hAnsi="TimesNewRoman" w:eastAsia="仿宋_GB2312" w:cs="TimesNewRoman"/>
          <w:kern w:val="0"/>
          <w:sz w:val="32"/>
          <w:szCs w:val="32"/>
          <w:lang w:val="en-US" w:eastAsia="zh-CN"/>
        </w:rPr>
        <w:t>0.07</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7.07</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人员变动</w:t>
      </w:r>
      <w:r>
        <w:rPr>
          <w:rFonts w:hint="eastAsia" w:ascii="仿宋_GB2312" w:hAnsi="仿宋" w:eastAsia="仿宋_GB2312"/>
          <w:sz w:val="32"/>
          <w:szCs w:val="32"/>
        </w:rPr>
        <w:t>。</w:t>
      </w:r>
      <w:r>
        <w:rPr>
          <w:rFonts w:hint="default" w:ascii="仿宋_GB2312" w:hAnsi="仿宋" w:eastAsia="仿宋_GB2312"/>
          <w:sz w:val="32"/>
          <w:szCs w:val="32"/>
          <w:lang w:val="en-US"/>
        </w:rPr>
        <w:t xml:space="preserve">         </w:t>
      </w:r>
    </w:p>
    <w:p>
      <w:pPr>
        <w:adjustRightInd w:val="0"/>
        <w:snapToGrid w:val="0"/>
        <w:spacing w:line="600" w:lineRule="exact"/>
        <w:ind w:firstLine="640" w:firstLineChars="200"/>
        <w:rPr>
          <w:rFonts w:ascii="仿宋_GB2312" w:hAnsi="仿宋" w:eastAsia="仿宋_GB2312"/>
          <w:sz w:val="32"/>
          <w:szCs w:val="32"/>
        </w:rPr>
      </w:pPr>
      <w:r>
        <w:rPr>
          <w:rFonts w:hint="default" w:ascii="仿宋_GB2312" w:hAnsi="仿宋" w:eastAsia="仿宋_GB2312"/>
          <w:sz w:val="32"/>
          <w:szCs w:val="32"/>
          <w:lang w:val="en-US"/>
        </w:rPr>
        <w:t xml:space="preserve"> </w:t>
      </w:r>
      <w:r>
        <w:rPr>
          <w:rFonts w:hint="default" w:ascii="仿宋_GB2312" w:hAnsi="仿宋" w:eastAsia="仿宋_GB2312"/>
          <w:b/>
          <w:sz w:val="32"/>
          <w:szCs w:val="32"/>
          <w:lang w:val="en-US" w:eastAsia="zh-CN"/>
        </w:rPr>
        <w:t>5</w:t>
      </w:r>
      <w:r>
        <w:rPr>
          <w:rFonts w:hint="eastAsia" w:ascii="仿宋_GB2312" w:hAnsi="仿宋" w:eastAsia="仿宋_GB2312"/>
          <w:b/>
          <w:sz w:val="32"/>
          <w:szCs w:val="32"/>
        </w:rPr>
        <w:t>.</w:t>
      </w:r>
      <w:r>
        <w:rPr>
          <w:rFonts w:hint="eastAsia" w:ascii="仿宋_GB2312" w:hAnsi="仿宋" w:eastAsia="仿宋_GB2312"/>
          <w:sz w:val="32"/>
          <w:szCs w:val="32"/>
        </w:rPr>
        <w:t>卫生健康支出（类）行政事业单位医疗（款）公务员医疗补助（项）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4.91</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0.11</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default" w:ascii="TimesNewRoman" w:hAnsi="TimesNewRoman" w:eastAsia="仿宋_GB2312" w:cs="TimesNewRoman"/>
          <w:kern w:val="0"/>
          <w:sz w:val="32"/>
          <w:szCs w:val="32"/>
          <w:lang w:val="en-US" w:eastAsia="zh-CN"/>
        </w:rPr>
        <w:t>2.19</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人员工资变动</w:t>
      </w:r>
      <w:r>
        <w:rPr>
          <w:rFonts w:hint="eastAsia" w:ascii="仿宋_GB2312" w:hAnsi="仿宋" w:eastAsia="仿宋_GB2312"/>
          <w:sz w:val="32"/>
          <w:szCs w:val="32"/>
        </w:rPr>
        <w:t>。</w:t>
      </w:r>
      <w:r>
        <w:rPr>
          <w:rFonts w:hint="default" w:ascii="仿宋_GB2312" w:hAnsi="仿宋" w:eastAsia="仿宋_GB2312"/>
          <w:sz w:val="32"/>
          <w:szCs w:val="32"/>
          <w:lang w:val="en-US"/>
        </w:rPr>
        <w:t xml:space="preserve"> </w:t>
      </w:r>
    </w:p>
    <w:p>
      <w:pPr>
        <w:adjustRightInd w:val="0"/>
        <w:snapToGrid w:val="0"/>
        <w:spacing w:line="600" w:lineRule="exact"/>
        <w:ind w:firstLine="643" w:firstLineChars="200"/>
        <w:rPr>
          <w:rFonts w:ascii="仿宋_GB2312" w:hAnsi="仿宋" w:eastAsia="仿宋_GB2312"/>
          <w:sz w:val="32"/>
          <w:szCs w:val="32"/>
        </w:rPr>
      </w:pPr>
      <w:r>
        <w:rPr>
          <w:rFonts w:hint="default" w:ascii="仿宋_GB2312" w:hAnsi="仿宋" w:eastAsia="仿宋_GB2312"/>
          <w:b/>
          <w:sz w:val="32"/>
          <w:szCs w:val="32"/>
          <w:lang w:val="en-US" w:eastAsia="zh-CN"/>
        </w:rPr>
        <w:t>6</w:t>
      </w:r>
      <w:r>
        <w:rPr>
          <w:rFonts w:hint="eastAsia" w:ascii="仿宋_GB2312" w:hAnsi="仿宋" w:eastAsia="仿宋_GB2312"/>
          <w:b/>
          <w:sz w:val="32"/>
          <w:szCs w:val="32"/>
        </w:rPr>
        <w:t>.</w:t>
      </w:r>
      <w:r>
        <w:rPr>
          <w:rFonts w:hint="eastAsia" w:ascii="仿宋_GB2312" w:hAnsi="仿宋" w:eastAsia="仿宋_GB2312"/>
          <w:sz w:val="32"/>
          <w:szCs w:val="32"/>
        </w:rPr>
        <w:t>卫生健康支出（类）行政事业单位医疗（款）事业单位医疗支出（项）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12.77</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0.9</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7.58</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社保基数调整及人员变动</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default" w:ascii="仿宋_GB2312" w:hAnsi="仿宋" w:eastAsia="仿宋_GB2312"/>
          <w:b/>
          <w:sz w:val="32"/>
          <w:szCs w:val="32"/>
          <w:lang w:val="en-US" w:eastAsia="zh-CN"/>
        </w:rPr>
        <w:t>7</w:t>
      </w:r>
      <w:r>
        <w:rPr>
          <w:rFonts w:hint="eastAsia" w:ascii="仿宋_GB2312" w:hAnsi="仿宋" w:eastAsia="仿宋_GB2312"/>
          <w:b/>
          <w:sz w:val="32"/>
          <w:szCs w:val="32"/>
        </w:rPr>
        <w:t>.</w:t>
      </w:r>
      <w:r>
        <w:rPr>
          <w:rFonts w:hint="eastAsia" w:ascii="仿宋_GB2312" w:hAnsi="仿宋" w:eastAsia="仿宋_GB2312"/>
          <w:sz w:val="32"/>
          <w:szCs w:val="32"/>
        </w:rPr>
        <w:t>自然资源海洋气象等支出（类）自然资源事务（款）事业运行（项）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241.49</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3.63</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1.53</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人员变动</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default" w:ascii="仿宋_GB2312" w:hAnsi="仿宋" w:eastAsia="仿宋_GB2312"/>
          <w:b/>
          <w:sz w:val="32"/>
          <w:szCs w:val="32"/>
          <w:lang w:val="en-US" w:eastAsia="zh-CN"/>
        </w:rPr>
        <w:t>8</w:t>
      </w:r>
      <w:r>
        <w:rPr>
          <w:rFonts w:hint="eastAsia" w:ascii="仿宋_GB2312" w:hAnsi="仿宋" w:eastAsia="仿宋_GB2312"/>
          <w:b/>
          <w:sz w:val="32"/>
          <w:szCs w:val="32"/>
        </w:rPr>
        <w:t>.</w:t>
      </w:r>
      <w:r>
        <w:rPr>
          <w:rFonts w:hint="eastAsia" w:ascii="仿宋_GB2312" w:hAnsi="仿宋" w:eastAsia="仿宋_GB2312"/>
          <w:sz w:val="32"/>
          <w:szCs w:val="32"/>
        </w:rPr>
        <w:t>住房保障支出（类）住房改革支出（款）住房公积金（项）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36.90</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7.45</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25.3</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公积金基数调整及人员变动</w:t>
      </w:r>
      <w:r>
        <w:rPr>
          <w:rFonts w:hint="eastAsia" w:ascii="仿宋_GB2312" w:hAnsi="仿宋" w:eastAsia="仿宋_GB2312"/>
          <w:sz w:val="32"/>
          <w:szCs w:val="32"/>
        </w:rPr>
        <w:t>。</w:t>
      </w:r>
    </w:p>
    <w:p>
      <w:pPr>
        <w:pStyle w:val="4"/>
        <w:rPr>
          <w:rFonts w:hint="eastAsia" w:ascii="仿宋_GB2312" w:hAnsi="仿宋" w:eastAsia="仿宋_GB2312"/>
          <w:sz w:val="32"/>
          <w:szCs w:val="32"/>
          <w:lang w:eastAsia="zh-CN"/>
        </w:rPr>
      </w:pPr>
      <w:r>
        <w:rPr>
          <w:rFonts w:hint="default" w:ascii="仿宋_GB2312" w:hAnsi="仿宋" w:eastAsia="仿宋_GB2312"/>
          <w:b/>
          <w:sz w:val="32"/>
          <w:szCs w:val="32"/>
          <w:lang w:val="en-US" w:eastAsia="zh-CN"/>
        </w:rPr>
        <w:t>9</w:t>
      </w:r>
      <w:r>
        <w:rPr>
          <w:rFonts w:hint="eastAsia" w:ascii="仿宋_GB2312" w:hAnsi="仿宋" w:eastAsia="仿宋_GB2312"/>
          <w:b/>
          <w:sz w:val="32"/>
          <w:szCs w:val="32"/>
        </w:rPr>
        <w:t>.</w:t>
      </w:r>
      <w:r>
        <w:rPr>
          <w:rFonts w:hint="eastAsia" w:ascii="仿宋_GB2312" w:hAnsi="仿宋" w:eastAsia="仿宋_GB2312"/>
          <w:sz w:val="32"/>
          <w:szCs w:val="32"/>
        </w:rPr>
        <w:t>住房保障支出（类）住房改革支出（款）购房补贴（项）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15.38</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3.11</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25.35</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公积金基数调整及人员变动</w:t>
      </w:r>
      <w:r>
        <w:rPr>
          <w:rFonts w:hint="eastAsia" w:ascii="仿宋_GB2312" w:hAnsi="仿宋" w:eastAsia="仿宋_GB2312"/>
          <w:sz w:val="32"/>
          <w:szCs w:val="32"/>
        </w:rPr>
        <w:t>。</w:t>
      </w:r>
    </w:p>
    <w:p>
      <w:pPr>
        <w:ind w:firstLine="640" w:firstLineChars="200"/>
        <w:rPr>
          <w:rFonts w:hint="eastAsia" w:ascii="TimesNewRoman" w:hAnsi="TimesNewRoman" w:eastAsia="仿宋_GB2312" w:cs="TimesNewRoman"/>
          <w:kern w:val="0"/>
          <w:sz w:val="32"/>
          <w:szCs w:val="32"/>
        </w:rPr>
      </w:pPr>
      <w:r>
        <w:rPr>
          <w:rFonts w:hint="default" w:ascii="仿宋_GB2312" w:hAnsi="仿宋" w:eastAsia="仿宋_GB2312"/>
          <w:sz w:val="32"/>
          <w:szCs w:val="32"/>
          <w:lang w:val="en-US" w:eastAsia="zh-CN"/>
        </w:rPr>
        <w:t>10.</w:t>
      </w:r>
      <w:r>
        <w:rPr>
          <w:rFonts w:hint="eastAsia" w:ascii="仿宋_GB2312" w:hAnsi="仿宋" w:eastAsia="仿宋_GB2312"/>
          <w:sz w:val="32"/>
          <w:szCs w:val="32"/>
        </w:rPr>
        <w:t>住房保障支出（类）住房改革支出（款）</w:t>
      </w:r>
      <w:r>
        <w:rPr>
          <w:rFonts w:hint="eastAsia" w:ascii="仿宋_GB2312" w:hAnsi="仿宋" w:eastAsia="仿宋_GB2312"/>
          <w:sz w:val="32"/>
          <w:szCs w:val="32"/>
          <w:lang w:eastAsia="zh-CN"/>
        </w:rPr>
        <w:t>提租补贴</w:t>
      </w:r>
      <w:r>
        <w:rPr>
          <w:rFonts w:hint="eastAsia" w:ascii="仿宋_GB2312" w:hAnsi="仿宋" w:eastAsia="仿宋_GB2312"/>
          <w:sz w:val="32"/>
          <w:szCs w:val="32"/>
        </w:rPr>
        <w:t>（项）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9.23</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9.23</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lang w:eastAsia="zh-CN"/>
        </w:rPr>
        <w:t>提租补贴支出。</w:t>
      </w:r>
    </w:p>
    <w:p>
      <w:pPr>
        <w:pStyle w:val="4"/>
        <w:rPr>
          <w:rFonts w:hint="eastAsia" w:eastAsia="仿宋_GB2312"/>
          <w:lang w:val="en-US" w:eastAsia="zh-CN"/>
        </w:rPr>
      </w:pPr>
    </w:p>
    <w:p>
      <w:pPr>
        <w:pStyle w:val="4"/>
        <w:rPr>
          <w:rFonts w:hint="eastAsia" w:eastAsia="仿宋_GB2312"/>
          <w:lang w:val="en-US" w:eastAsia="zh-CN"/>
        </w:rPr>
      </w:pPr>
    </w:p>
    <w:p>
      <w:pPr>
        <w:pStyle w:val="4"/>
      </w:pP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2024年一般公共预算基本支出</w:t>
      </w:r>
      <w:r>
        <w:rPr>
          <w:rFonts w:hint="default" w:ascii="TimesNewRoman" w:hAnsi="TimesNewRoman" w:eastAsia="仿宋_GB2312" w:cs="TimesNewRoman"/>
          <w:kern w:val="0"/>
          <w:sz w:val="32"/>
          <w:szCs w:val="32"/>
          <w:lang w:val="en-US"/>
        </w:rPr>
        <w:t>377.79</w:t>
      </w:r>
      <w:r>
        <w:rPr>
          <w:rFonts w:hint="eastAsia" w:ascii="TimesNewRoman" w:hAnsi="TimesNewRoman" w:eastAsia="仿宋_GB2312" w:cs="TimesNewRoman"/>
          <w:kern w:val="0"/>
          <w:sz w:val="32"/>
          <w:szCs w:val="32"/>
        </w:rPr>
        <w:t>万元，其中，人员经费</w:t>
      </w:r>
      <w:r>
        <w:rPr>
          <w:rFonts w:hint="default" w:ascii="TimesNewRoman" w:hAnsi="TimesNewRoman" w:eastAsia="仿宋_GB2312" w:cs="TimesNewRoman"/>
          <w:kern w:val="0"/>
          <w:sz w:val="32"/>
          <w:szCs w:val="32"/>
          <w:lang w:val="en-US"/>
        </w:rPr>
        <w:t>349.09</w:t>
      </w:r>
      <w:r>
        <w:rPr>
          <w:rFonts w:hint="eastAsia" w:ascii="TimesNewRoman" w:hAnsi="TimesNewRoman" w:eastAsia="仿宋_GB2312" w:cs="TimesNewRoman"/>
          <w:kern w:val="0"/>
          <w:sz w:val="32"/>
          <w:szCs w:val="32"/>
        </w:rPr>
        <w:t>万元，公用经费</w:t>
      </w:r>
      <w:r>
        <w:rPr>
          <w:rFonts w:hint="default" w:ascii="TimesNewRoman" w:hAnsi="TimesNewRoman" w:eastAsia="仿宋_GB2312" w:cs="TimesNewRoman"/>
          <w:kern w:val="0"/>
          <w:sz w:val="32"/>
          <w:szCs w:val="32"/>
          <w:lang w:val="en-US"/>
        </w:rPr>
        <w:t>28.70</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default" w:ascii="TimesNewRoman" w:hAnsi="TimesNewRoman" w:eastAsia="仿宋_GB2312" w:cs="TimesNewRoman"/>
          <w:b/>
          <w:kern w:val="0"/>
          <w:sz w:val="32"/>
          <w:szCs w:val="32"/>
          <w:lang w:val="en-US"/>
        </w:rPr>
        <w:t>349.09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医疗费补助、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default" w:ascii="TimesNewRoman" w:hAnsi="TimesNewRoman" w:eastAsia="仿宋_GB2312" w:cs="TimesNewRoman"/>
          <w:b/>
          <w:kern w:val="0"/>
          <w:sz w:val="32"/>
          <w:szCs w:val="32"/>
          <w:lang w:val="en-US"/>
        </w:rPr>
        <w:t>28.70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公务用车运行维护费、其他商品服务支出。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2024年政府性基金支出</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。具体情况如下：</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w:t>
      </w:r>
      <w:r>
        <w:rPr>
          <w:rFonts w:hint="eastAsia" w:ascii="TimesNewRoman" w:hAnsi="TimesNewRoman" w:eastAsia="仿宋_GB2312" w:cs="TimesNewRoman"/>
          <w:b/>
          <w:kern w:val="0"/>
          <w:sz w:val="32"/>
          <w:szCs w:val="32"/>
          <w:lang w:eastAsia="zh-CN"/>
        </w:rPr>
        <w:t>城乡社区支出</w:t>
      </w:r>
      <w:r>
        <w:rPr>
          <w:rFonts w:hint="eastAsia" w:ascii="TimesNewRoman" w:hAnsi="TimesNewRoman" w:eastAsia="仿宋_GB2312" w:cs="TimesNewRoman"/>
          <w:b/>
          <w:kern w:val="0"/>
          <w:sz w:val="32"/>
          <w:szCs w:val="32"/>
        </w:rPr>
        <w:t>（类）</w:t>
      </w:r>
      <w:r>
        <w:rPr>
          <w:rFonts w:hint="eastAsia" w:ascii="TimesNewRoman" w:hAnsi="TimesNewRoman" w:eastAsia="仿宋_GB2312" w:cs="TimesNewRoman"/>
          <w:b/>
          <w:kern w:val="0"/>
          <w:sz w:val="32"/>
          <w:szCs w:val="32"/>
          <w:lang w:eastAsia="zh-CN"/>
        </w:rPr>
        <w:t>国有土地使用权出让收入安排的支出</w:t>
      </w:r>
      <w:r>
        <w:rPr>
          <w:rFonts w:hint="eastAsia" w:ascii="TimesNewRoman" w:hAnsi="TimesNewRoman" w:eastAsia="仿宋_GB2312" w:cs="TimesNewRoman"/>
          <w:b/>
          <w:kern w:val="0"/>
          <w:sz w:val="32"/>
          <w:szCs w:val="32"/>
        </w:rPr>
        <w:t>（款）</w:t>
      </w:r>
      <w:r>
        <w:rPr>
          <w:rFonts w:hint="eastAsia" w:ascii="TimesNewRoman" w:hAnsi="TimesNewRoman" w:eastAsia="仿宋_GB2312" w:cs="TimesNewRoman"/>
          <w:b/>
          <w:kern w:val="0"/>
          <w:sz w:val="32"/>
          <w:szCs w:val="32"/>
          <w:lang w:eastAsia="zh-CN"/>
        </w:rPr>
        <w:t>土地出让业务支出</w:t>
      </w:r>
      <w:r>
        <w:rPr>
          <w:rFonts w:hint="eastAsia" w:ascii="TimesNewRoman" w:hAnsi="TimesNewRoman" w:eastAsia="仿宋_GB2312" w:cs="TimesNewRoman"/>
          <w:b/>
          <w:kern w:val="0"/>
          <w:sz w:val="32"/>
          <w:szCs w:val="32"/>
        </w:rPr>
        <w:t>（项）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TimesNewRoman" w:hAnsi="TimesNewRoman" w:eastAsia="仿宋_GB2312" w:cs="TimesNewRoman"/>
          <w:kern w:val="0"/>
          <w:sz w:val="32"/>
          <w:szCs w:val="32"/>
        </w:rPr>
        <w:t>年预算</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与</w:t>
      </w:r>
      <w:r>
        <w:rPr>
          <w:rFonts w:hint="default"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lang w:val="en-US" w:eastAsia="zh-CN"/>
        </w:rPr>
        <w:t>年预算一致</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2024年预算共安排项目支出</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厉行节约</w:t>
      </w:r>
      <w:r>
        <w:rPr>
          <w:rFonts w:hint="eastAsia" w:ascii="TimesNewRoman" w:hAnsi="TimesNewRoman" w:eastAsia="仿宋_GB2312" w:cs="TimesNewRoman"/>
          <w:kern w:val="0"/>
          <w:sz w:val="32"/>
          <w:szCs w:val="32"/>
        </w:rPr>
        <w:t>。主要包括：本年财政拨款安排</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万元（其中，一般公共预算拨款安排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万元，政府性基金预算拨款安排</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万元），财政专户管理资金安排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2024年预算安排政府采购支出</w:t>
      </w:r>
      <w:r>
        <w:rPr>
          <w:rFonts w:hint="default" w:ascii="TimesNewRoman" w:hAnsi="TimesNewRoman" w:eastAsia="仿宋_GB2312" w:cs="TimesNewRoman"/>
          <w:kern w:val="0"/>
          <w:sz w:val="32"/>
          <w:szCs w:val="32"/>
          <w:lang w:val="en-US"/>
        </w:rPr>
        <w:t>150.30</w:t>
      </w:r>
      <w:r>
        <w:rPr>
          <w:rFonts w:hint="eastAsia" w:ascii="TimesNewRoman" w:hAnsi="TimesNewRoman" w:eastAsia="仿宋_GB2312" w:cs="TimesNewRoman"/>
          <w:kern w:val="0"/>
          <w:sz w:val="32"/>
          <w:szCs w:val="32"/>
        </w:rPr>
        <w:t>万元，比2023年预算减少</w:t>
      </w:r>
      <w:r>
        <w:rPr>
          <w:rFonts w:hint="default" w:ascii="TimesNewRoman" w:hAnsi="TimesNewRoman" w:eastAsia="仿宋_GB2312" w:cs="TimesNewRoman"/>
          <w:kern w:val="0"/>
          <w:sz w:val="32"/>
          <w:szCs w:val="32"/>
          <w:lang w:val="en-US"/>
        </w:rPr>
        <w:t>0.6</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0.4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政府采购支出减少</w:t>
      </w:r>
      <w:r>
        <w:rPr>
          <w:rFonts w:hint="eastAsia" w:ascii="TimesNewRoman" w:hAnsi="TimesNewRoman" w:eastAsia="仿宋_GB2312" w:cs="TimesNewRoman"/>
          <w:kern w:val="0"/>
          <w:sz w:val="32"/>
          <w:szCs w:val="32"/>
        </w:rPr>
        <w:t>。其中，一般公共预算安排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%；政府性基金预算安排</w:t>
      </w:r>
      <w:r>
        <w:rPr>
          <w:rFonts w:hint="default" w:ascii="TimesNewRoman" w:hAnsi="TimesNewRoman" w:eastAsia="仿宋_GB2312" w:cs="TimesNewRoman"/>
          <w:kern w:val="0"/>
          <w:sz w:val="32"/>
          <w:szCs w:val="32"/>
          <w:lang w:val="en-US"/>
        </w:rPr>
        <w:t>150.30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100</w:t>
      </w:r>
      <w:r>
        <w:rPr>
          <w:rFonts w:hint="eastAsia" w:ascii="TimesNewRoman" w:hAnsi="TimesNewRoman" w:eastAsia="仿宋_GB2312" w:cs="TimesNewRoman"/>
          <w:kern w:val="0"/>
          <w:sz w:val="32"/>
          <w:szCs w:val="32"/>
        </w:rPr>
        <w:t>%；财政专户管理资金安排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2024年没有安排政府购买服务支出。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3" w:firstLineChars="200"/>
        <w:rPr>
          <w:rFonts w:hint="eastAsia" w:ascii="TimesNewRoman" w:hAnsi="TimesNewRoman" w:eastAsia="仿宋_GB2312" w:cs="TimesNewRoman"/>
          <w:kern w:val="0"/>
          <w:sz w:val="32"/>
          <w:szCs w:val="32"/>
          <w:lang w:val="en-US" w:eastAsia="zh-CN"/>
        </w:rPr>
      </w:pPr>
      <w:r>
        <w:rPr>
          <w:rFonts w:hint="default" w:ascii="TimesNewRoman" w:hAnsi="TimesNewRoman" w:eastAsia="仿宋_GB2312" w:cs="TimesNewRoman"/>
          <w:b/>
          <w:bCs/>
          <w:kern w:val="0"/>
          <w:sz w:val="32"/>
          <w:szCs w:val="32"/>
          <w:lang w:val="en-US" w:eastAsia="zh-CN"/>
        </w:rPr>
        <w:t>1</w:t>
      </w:r>
      <w:r>
        <w:rPr>
          <w:rFonts w:hint="eastAsia" w:ascii="TimesNewRoman" w:hAnsi="TimesNewRoman" w:eastAsia="仿宋_GB2312" w:cs="TimesNewRoman"/>
          <w:b/>
          <w:bCs/>
          <w:kern w:val="0"/>
          <w:sz w:val="32"/>
          <w:szCs w:val="32"/>
          <w:lang w:val="en-US" w:eastAsia="zh-CN"/>
        </w:rPr>
        <w:t>、“</w:t>
      </w:r>
      <w:r>
        <w:rPr>
          <w:rFonts w:hint="eastAsia" w:ascii="仿宋_GB2312" w:hAnsi="仿宋_GB2312" w:eastAsia="仿宋_GB2312" w:cs="仿宋_GB2312"/>
          <w:b w:val="0"/>
          <w:bCs w:val="0"/>
          <w:sz w:val="32"/>
          <w:szCs w:val="32"/>
        </w:rPr>
        <w:t>土地调查研究宣传推介费</w:t>
      </w:r>
      <w:r>
        <w:rPr>
          <w:rFonts w:hint="eastAsia" w:ascii="TimesNewRoman" w:hAnsi="TimesNewRoman" w:eastAsia="仿宋_GB2312" w:cs="TimesNewRoman"/>
          <w:b/>
          <w:bCs/>
          <w:kern w:val="0"/>
          <w:sz w:val="32"/>
          <w:szCs w:val="32"/>
          <w:lang w:val="en-US" w:eastAsia="zh-CN"/>
        </w:rPr>
        <w:t>”</w:t>
      </w:r>
      <w:r>
        <w:rPr>
          <w:rFonts w:hint="eastAsia" w:ascii="TimesNewRoman" w:hAnsi="TimesNewRoman" w:eastAsia="仿宋_GB2312" w:cs="TimesNewRoman"/>
          <w:kern w:val="0"/>
          <w:sz w:val="32"/>
          <w:szCs w:val="32"/>
          <w:lang w:val="en-US" w:eastAsia="zh-CN"/>
        </w:rPr>
        <w:t>项目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sz w:val="32"/>
          <w:szCs w:val="32"/>
        </w:rPr>
        <w:t>进行地块前期摸底、地籍调查。开展规模、形式多样的宣传活动。</w:t>
      </w:r>
      <w:r>
        <w:rPr>
          <w:rFonts w:hint="eastAsia" w:ascii="仿宋_GB2312" w:hAnsi="仿宋_GB2312" w:eastAsia="仿宋_GB2312" w:cs="仿宋_GB2312"/>
          <w:sz w:val="32"/>
          <w:szCs w:val="32"/>
          <w:lang w:eastAsia="zh-CN"/>
        </w:rPr>
        <w:t>开展外出推介招商引资</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sz w:val="32"/>
          <w:szCs w:val="32"/>
        </w:rPr>
        <w:t xml:space="preserve">财综字[1995]第326号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淮北市土地招商推介年度服务项目。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pPr>
        <w:ind w:firstLine="640" w:firstLineChars="200"/>
        <w:rPr>
          <w:rFonts w:hint="eastAsia" w:ascii="仿宋_GB2312" w:hAnsi="仿宋_GB2312" w:eastAsia="仿宋_GB2312" w:cs="仿宋_GB2312"/>
          <w:sz w:val="32"/>
          <w:szCs w:val="32"/>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sz w:val="32"/>
          <w:szCs w:val="32"/>
        </w:rPr>
        <w:t>1、在土地收储、供应及农转用报批，报件、组件等工作中，要对地块的位置、面积、利用现状等进行地块前期摸底、地籍调查。2、为加大我市国有土地资本运营力度，在各类媒体、报刊、杂志上进行宣传 。 在日常宣传的同时，还利用“4.22”地球日、"6.25"全国土地日和“12.4”全国法制宣传日等重大法制宣传教育节日，开展规模、形式多样的宣传活动。3、参加全国性的土地展，搭建“淮北馆”，举办</w:t>
      </w:r>
      <w:r>
        <w:rPr>
          <w:rFonts w:hint="eastAsia" w:ascii="仿宋_GB2312" w:hAnsi="仿宋_GB2312" w:eastAsia="仿宋_GB2312" w:cs="仿宋_GB2312"/>
          <w:sz w:val="32"/>
          <w:szCs w:val="32"/>
          <w:lang w:eastAsia="zh-CN"/>
        </w:rPr>
        <w:t>专场</w:t>
      </w:r>
      <w:r>
        <w:rPr>
          <w:rFonts w:hint="eastAsia" w:ascii="仿宋_GB2312" w:hAnsi="仿宋_GB2312" w:eastAsia="仿宋_GB2312" w:cs="仿宋_GB2312"/>
          <w:sz w:val="32"/>
          <w:szCs w:val="32"/>
        </w:rPr>
        <w:t>推介会，开展小分队走访，保证土地推介的精准度，吸引实力房企赴淮北开展调研考察。</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lang w:val="en-US" w:eastAsia="zh-CN"/>
        </w:rPr>
        <w:t>99</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US"/>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lang w:eastAsia="zh-CN"/>
              </w:rPr>
              <w:t>土地调查研究宣传推介费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淮北市土地储备发展中心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default" w:ascii="宋体" w:cs="宋体"/>
                <w:sz w:val="2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default" w:ascii="宋体" w:cs="宋体"/>
                <w:sz w:val="2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目标1：在土地收储、供应及农转用报批，报件、组件等工作中，要对地块的位置、面积、利用现状等进行地块前期摸底、地籍调查、研究，制定收储土地补偿方案，督促各区政府按照收储补偿方案对土地范围内附属物的拆迁安置进行补偿工作。  目标2：加大土地宣传推介，参加全国性的土地展，召开专题土地推介会，吸引意向投资商关注淮北、了解淮北、投资淮北。开展小分队上门走访，保证土地推介的精准度。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土地宣传推介走访</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优化市场环境，稳定成交率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完善有序土地市场</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eastAsia="zh-CN"/>
              </w:rPr>
              <w:t>提高土地运作效能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吸引有实力的开发商投资淮北，助力我市土地市场持续健康发展</w:t>
            </w:r>
          </w:p>
        </w:tc>
        <w:tc>
          <w:tcPr>
            <w:tcW w:w="4228" w:type="dxa"/>
            <w:gridSpan w:val="2"/>
            <w:tcBorders>
              <w:tl2br w:val="nil"/>
              <w:tr2bl w:val="nil"/>
            </w:tcBorders>
            <w:noWrap w:val="0"/>
            <w:vAlign w:val="center"/>
          </w:tcPr>
          <w:p>
            <w:pPr>
              <w:jc w:val="left"/>
              <w:rPr>
                <w:rFonts w:hint="eastAsia" w:ascii="宋体" w:eastAsia="宋体" w:cs="宋体"/>
                <w:sz w:val="20"/>
                <w:lang w:eastAsia="zh-CN"/>
              </w:rPr>
            </w:pPr>
            <w:r>
              <w:rPr>
                <w:rFonts w:hint="eastAsia" w:ascii="宋体" w:cs="宋体"/>
                <w:sz w:val="20"/>
              </w:rPr>
              <w:t>开展外出招商，吸引实力雄厚、管理先进企业投资淮北，推动淮北土地市场发展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rPr>
              <w:t>全年预算安排</w:t>
            </w:r>
            <w:r>
              <w:rPr>
                <w:rFonts w:hint="default" w:ascii="宋体" w:cs="宋体"/>
                <w:sz w:val="20"/>
                <w:lang w:val="en-US"/>
              </w:rPr>
              <w:t>99</w:t>
            </w:r>
            <w:r>
              <w:rPr>
                <w:rFonts w:hint="eastAsia" w:ascii="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通过宣传推介，引起了客商们对淮北的高度关注和浓厚兴趣</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加大了土地运营力度，推动淮北地方经济发展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促进地方经济发展</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通过土地外出推介，使外地市先进房企、企业入驻淮北，促进地方经济发展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促进淮北生态居住环境向好发展</w:t>
            </w:r>
          </w:p>
        </w:tc>
        <w:tc>
          <w:tcPr>
            <w:tcW w:w="4228" w:type="dxa"/>
            <w:gridSpan w:val="2"/>
            <w:tcBorders>
              <w:tl2br w:val="nil"/>
              <w:tr2bl w:val="nil"/>
            </w:tcBorders>
            <w:noWrap w:val="0"/>
            <w:vAlign w:val="center"/>
          </w:tcPr>
          <w:p>
            <w:pPr>
              <w:jc w:val="left"/>
              <w:rPr>
                <w:rFonts w:hint="eastAsia" w:ascii="宋体" w:eastAsia="宋体" w:cs="宋体"/>
                <w:sz w:val="20"/>
                <w:lang w:eastAsia="zh-CN"/>
              </w:rPr>
            </w:pPr>
            <w:r>
              <w:rPr>
                <w:rFonts w:hint="eastAsia" w:ascii="宋体" w:cs="宋体"/>
                <w:sz w:val="20"/>
              </w:rPr>
              <w:t>外来房企入驻淮北，带来了先进的居住理念，改变了淮北的居住</w:t>
            </w:r>
            <w:r>
              <w:rPr>
                <w:rFonts w:hint="eastAsia" w:ascii="宋体" w:cs="宋体"/>
                <w:sz w:val="20"/>
                <w:lang w:eastAsia="zh-CN"/>
              </w:rPr>
              <w:t>环</w:t>
            </w:r>
            <w:r>
              <w:rPr>
                <w:rFonts w:hint="eastAsia" w:ascii="宋体" w:cs="宋体"/>
                <w:sz w:val="20"/>
              </w:rPr>
              <w:t>境，使淮北住房更加绿色、环保、美观。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土地市场良性、可持续发展</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促进土地市场稳中有进，进中向好，良性循环发展。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服务对象满意度</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满意</w:t>
            </w:r>
          </w:p>
        </w:tc>
      </w:tr>
    </w:tbl>
    <w:p/>
    <w:p>
      <w:pPr>
        <w:ind w:firstLine="640" w:firstLineChars="200"/>
        <w:rPr>
          <w:rFonts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2</w:t>
      </w:r>
      <w:r>
        <w:rPr>
          <w:rFonts w:hint="eastAsia" w:ascii="TimesNewRoman" w:hAnsi="TimesNewRoman" w:eastAsia="仿宋_GB2312" w:cs="TimesNewRoman"/>
          <w:kern w:val="0"/>
          <w:sz w:val="32"/>
          <w:szCs w:val="32"/>
        </w:rPr>
        <w:t>、“</w:t>
      </w:r>
      <w:r>
        <w:rPr>
          <w:rFonts w:hint="eastAsia" w:ascii="仿宋_GB2312" w:hAnsi="仿宋_GB2312" w:eastAsia="仿宋_GB2312" w:cs="仿宋_GB2312"/>
          <w:b w:val="0"/>
          <w:bCs w:val="0"/>
          <w:sz w:val="32"/>
          <w:szCs w:val="32"/>
          <w:lang w:val="en-US" w:eastAsia="zh-CN"/>
        </w:rPr>
        <w:t>土地资本运营业务费</w:t>
      </w:r>
      <w:r>
        <w:rPr>
          <w:rFonts w:hint="eastAsia" w:ascii="TimesNewRoman" w:hAnsi="TimesNewRoman" w:eastAsia="仿宋_GB2312" w:cs="TimesNewRoman"/>
          <w:kern w:val="0"/>
          <w:sz w:val="32"/>
          <w:szCs w:val="32"/>
        </w:rPr>
        <w:t>”项目。</w:t>
      </w:r>
    </w:p>
    <w:p>
      <w:pPr>
        <w:ind w:firstLine="640" w:firstLineChars="200"/>
        <w:rPr>
          <w:rFonts w:hint="eastAsia" w:ascii="仿宋_GB2312" w:hAnsi="仿宋_GB2312" w:eastAsia="仿宋_GB2312" w:cs="仿宋_GB2312"/>
          <w:color w:val="auto"/>
          <w:sz w:val="32"/>
          <w:szCs w:val="32"/>
          <w:highlight w:val="none"/>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highlight w:val="none"/>
        </w:rPr>
        <w:t>土地资本运营是一项系统工程，从土地储备到土地供应，期间发生的各项费用。</w:t>
      </w:r>
    </w:p>
    <w:p>
      <w:pPr>
        <w:numPr>
          <w:ilvl w:val="0"/>
          <w:numId w:val="0"/>
        </w:numPr>
        <w:ind w:left="630" w:leftChars="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highlight w:val="none"/>
        </w:rPr>
        <w:t>《202</w:t>
      </w:r>
      <w:r>
        <w:rPr>
          <w:rFonts w:hint="default" w:ascii="仿宋_GB2312" w:hAnsi="仿宋_GB2312" w:eastAsia="仿宋_GB2312" w:cs="仿宋_GB2312"/>
          <w:color w:val="auto"/>
          <w:sz w:val="32"/>
          <w:szCs w:val="32"/>
          <w:highlight w:val="none"/>
          <w:lang w:val="en-US"/>
        </w:rPr>
        <w:t>4</w:t>
      </w:r>
      <w:r>
        <w:rPr>
          <w:rFonts w:hint="eastAsia" w:ascii="仿宋_GB2312" w:hAnsi="仿宋_GB2312" w:eastAsia="仿宋_GB2312" w:cs="仿宋_GB2312"/>
          <w:color w:val="auto"/>
          <w:sz w:val="32"/>
          <w:szCs w:val="32"/>
          <w:highlight w:val="none"/>
        </w:rPr>
        <w:t>年度国有土地收购储备及招拍挂出让计划》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土委会会议纪要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财综字【1995】326号</w:t>
      </w:r>
      <w:r>
        <w:rPr>
          <w:rFonts w:hint="eastAsia" w:ascii="仿宋_GB2312" w:hAnsi="仿宋_GB2312" w:eastAsia="仿宋_GB2312" w:cs="仿宋_GB2312"/>
          <w:color w:val="auto"/>
          <w:sz w:val="32"/>
          <w:szCs w:val="32"/>
          <w:highlight w:val="none"/>
          <w:lang w:eastAsia="zh-CN"/>
        </w:rPr>
        <w:t>；淮北市国有土地供应规划预方案及指标设计项目合同；土地储备出让等价格评估及地价分析评估项目合同。</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pPr>
        <w:ind w:firstLine="640" w:firstLineChars="200"/>
        <w:rPr>
          <w:rFonts w:hint="eastAsia" w:ascii="仿宋_GB2312" w:hAnsi="仿宋_GB2312" w:eastAsia="仿宋_GB2312" w:cs="仿宋_GB2312"/>
          <w:color w:val="auto"/>
          <w:sz w:val="32"/>
          <w:szCs w:val="32"/>
          <w:highlight w:val="none"/>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highlight w:val="none"/>
        </w:rPr>
        <w:t>土地资本运营是一项系统工程，从土地储备到土地供应，期间发生的各项费用。只有发挥系统功能的作用，才能实现土地资本运营收益的最大化。土地资本运营业务费包括办公费、印刷费、维修（护）费、委托业务费、劳务费、其他交通费用、其他商品和服务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default" w:ascii="TimesNewRoman" w:hAnsi="TimesNewRoman" w:eastAsia="仿宋_GB2312" w:cs="TimesNewRoman"/>
          <w:kern w:val="0"/>
          <w:sz w:val="32"/>
          <w:szCs w:val="32"/>
          <w:lang w:val="en-US"/>
        </w:rPr>
        <w:t>192.2</w:t>
      </w:r>
      <w:r>
        <w:rPr>
          <w:rFonts w:hint="eastAsia" w:ascii="TimesNewRoman" w:hAnsi="TimesNewRoman" w:eastAsia="仿宋_GB2312" w:cs="TimesNewRoman"/>
          <w:kern w:val="0"/>
          <w:sz w:val="32"/>
          <w:szCs w:val="32"/>
          <w:lang w:val="en-US" w:eastAsia="zh-CN"/>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土地资本运营业务费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cs="宋体"/>
                <w:sz w:val="20"/>
                <w:lang w:eastAsia="zh-CN"/>
              </w:rPr>
              <w:t>淮北市土地储备发展中心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default"/>
                <w:lang w:val="en-US"/>
              </w:rPr>
              <w:t>1</w:t>
            </w:r>
            <w:r>
              <w:rPr>
                <w:rFonts w:hint="eastAsia"/>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ind w:firstLine="457" w:firstLineChars="0"/>
              <w:jc w:val="left"/>
              <w:rPr>
                <w:rFonts w:ascii="宋体" w:cs="宋体"/>
                <w:sz w:val="20"/>
              </w:rPr>
            </w:pPr>
            <w:r>
              <w:rPr>
                <w:rFonts w:hint="eastAsia" w:ascii="宋体" w:cs="宋体"/>
                <w:sz w:val="20"/>
              </w:rPr>
              <w:t>1、为加强国有建设用地使用权出让管理，进一步规范出让行为，完善出让程序；2、充分调动各业务单位的积极性，协助市土地储备发展中心制定收储土地补偿方案，协助与各区政府签定收储协议，收储土地范围内的地类调查，勘测、规划、评估、询价等工作；3、齐心协力，上下联动，努力完成资本运营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指标1：依据土地市场供需关系</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对项目用地和招拍挂用地做好各项工作，合理安排供地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指标1：使土地市场效益最大化</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力争形成均衡协调的供地结构，保障我市土地市场健康有序发展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指标1：分批次、有计划进行供地</w:t>
            </w:r>
          </w:p>
        </w:tc>
        <w:tc>
          <w:tcPr>
            <w:tcW w:w="4228" w:type="dxa"/>
            <w:gridSpan w:val="2"/>
            <w:tcBorders>
              <w:tl2br w:val="nil"/>
              <w:tr2bl w:val="nil"/>
            </w:tcBorders>
            <w:noWrap w:val="0"/>
            <w:vAlign w:val="center"/>
          </w:tcPr>
          <w:p>
            <w:pPr>
              <w:tabs>
                <w:tab w:val="left" w:pos="543"/>
              </w:tabs>
              <w:jc w:val="left"/>
              <w:rPr>
                <w:rFonts w:ascii="宋体" w:cs="宋体"/>
                <w:sz w:val="20"/>
              </w:rPr>
            </w:pPr>
            <w:r>
              <w:rPr>
                <w:rFonts w:hint="eastAsia" w:ascii="宋体" w:cs="宋体"/>
                <w:sz w:val="20"/>
              </w:rPr>
              <w:t>针对市场供需关系，合理安排供地计划，控制土地出让节奏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tabs>
                <w:tab w:val="left" w:pos="975"/>
              </w:tabs>
              <w:ind w:firstLine="800" w:firstLineChars="400"/>
              <w:jc w:val="left"/>
              <w:rPr>
                <w:rFonts w:ascii="宋体" w:cs="宋体"/>
                <w:sz w:val="20"/>
              </w:rPr>
            </w:pPr>
            <w:r>
              <w:rPr>
                <w:rFonts w:hint="eastAsia" w:ascii="宋体" w:cs="宋体"/>
                <w:sz w:val="20"/>
              </w:rPr>
              <w:t>全年预算安排192.2万元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指标1：推进我市土地经营收益最大化</w:t>
            </w:r>
          </w:p>
        </w:tc>
        <w:tc>
          <w:tcPr>
            <w:tcW w:w="4228" w:type="dxa"/>
            <w:gridSpan w:val="2"/>
            <w:tcBorders>
              <w:tl2br w:val="nil"/>
              <w:tr2bl w:val="nil"/>
            </w:tcBorders>
            <w:noWrap w:val="0"/>
            <w:vAlign w:val="center"/>
          </w:tcPr>
          <w:p>
            <w:pPr>
              <w:tabs>
                <w:tab w:val="left" w:pos="567"/>
              </w:tabs>
              <w:jc w:val="both"/>
              <w:rPr>
                <w:rFonts w:ascii="宋体" w:cs="宋体"/>
                <w:sz w:val="20"/>
              </w:rPr>
            </w:pPr>
            <w:r>
              <w:rPr>
                <w:rFonts w:hint="eastAsia" w:ascii="宋体" w:cs="宋体"/>
                <w:sz w:val="20"/>
              </w:rPr>
              <w:t>为城市建设撬动更多资源、集聚更多资金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tabs>
                <w:tab w:val="center" w:pos="1328"/>
              </w:tabs>
              <w:jc w:val="left"/>
              <w:textAlignment w:val="center"/>
              <w:rPr>
                <w:rFonts w:ascii="宋体" w:cs="宋体"/>
                <w:sz w:val="20"/>
              </w:rPr>
            </w:pPr>
            <w:r>
              <w:rPr>
                <w:rFonts w:hint="eastAsia" w:ascii="宋体" w:hAnsi="宋体" w:eastAsia="宋体" w:cs="宋体"/>
                <w:color w:val="000000"/>
                <w:kern w:val="0"/>
                <w:sz w:val="20"/>
                <w:szCs w:val="20"/>
              </w:rPr>
              <w:t>指标1：促进地方经济发展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pPr>
              <w:tabs>
                <w:tab w:val="left" w:pos="591"/>
              </w:tabs>
              <w:jc w:val="left"/>
              <w:rPr>
                <w:rFonts w:ascii="宋体" w:cs="宋体"/>
                <w:sz w:val="20"/>
              </w:rPr>
            </w:pPr>
            <w:r>
              <w:rPr>
                <w:rFonts w:hint="eastAsia" w:ascii="宋体" w:cs="宋体"/>
                <w:sz w:val="20"/>
              </w:rPr>
              <w:t>通过土地运营，加大土地成交率，稳定率、促进地方经济发展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指标1：淮北居住环境向好发展</w:t>
            </w:r>
          </w:p>
        </w:tc>
        <w:tc>
          <w:tcPr>
            <w:tcW w:w="4228" w:type="dxa"/>
            <w:gridSpan w:val="2"/>
            <w:tcBorders>
              <w:tl2br w:val="nil"/>
              <w:tr2bl w:val="nil"/>
            </w:tcBorders>
            <w:noWrap w:val="0"/>
            <w:vAlign w:val="center"/>
          </w:tcPr>
          <w:p>
            <w:pPr>
              <w:tabs>
                <w:tab w:val="left" w:pos="255"/>
              </w:tabs>
              <w:jc w:val="left"/>
              <w:rPr>
                <w:rFonts w:ascii="宋体" w:cs="宋体"/>
                <w:sz w:val="20"/>
              </w:rPr>
            </w:pPr>
            <w:r>
              <w:rPr>
                <w:rFonts w:hint="eastAsia" w:ascii="宋体" w:cs="宋体"/>
                <w:sz w:val="20"/>
              </w:rPr>
              <w:t>通过土地资本运营，使淮北市居民居住环境得到改善，向着绿色环保居住理念发展。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指标1：土地市场良性发展</w:t>
            </w:r>
          </w:p>
        </w:tc>
        <w:tc>
          <w:tcPr>
            <w:tcW w:w="4228" w:type="dxa"/>
            <w:gridSpan w:val="2"/>
            <w:tcBorders>
              <w:tl2br w:val="nil"/>
              <w:tr2bl w:val="nil"/>
            </w:tcBorders>
            <w:noWrap w:val="0"/>
            <w:vAlign w:val="center"/>
          </w:tcPr>
          <w:p>
            <w:pPr>
              <w:tabs>
                <w:tab w:val="left" w:pos="303"/>
              </w:tabs>
              <w:jc w:val="left"/>
              <w:rPr>
                <w:rFonts w:ascii="宋体" w:cs="宋体"/>
                <w:sz w:val="20"/>
              </w:rPr>
            </w:pPr>
            <w:r>
              <w:rPr>
                <w:rFonts w:hint="eastAsia" w:ascii="宋体" w:cs="宋体"/>
                <w:sz w:val="20"/>
              </w:rPr>
              <w:t>土地市场稳中有进，进中向好发展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pPr>
              <w:tabs>
                <w:tab w:val="left" w:pos="699"/>
              </w:tabs>
              <w:ind w:firstLine="1400" w:firstLineChars="700"/>
              <w:jc w:val="left"/>
              <w:rPr>
                <w:rFonts w:ascii="宋体" w:cs="宋体"/>
                <w:sz w:val="20"/>
              </w:rPr>
            </w:pPr>
            <w:r>
              <w:rPr>
                <w:rFonts w:hint="eastAsia" w:ascii="宋体" w:hAnsi="宋体" w:eastAsia="宋体" w:cs="宋体"/>
                <w:color w:val="000000"/>
                <w:kern w:val="0"/>
                <w:sz w:val="20"/>
                <w:szCs w:val="20"/>
              </w:rPr>
              <w:t>满意</w:t>
            </w:r>
          </w:p>
        </w:tc>
      </w:tr>
    </w:tbl>
    <w:p/>
    <w:p>
      <w:pPr>
        <w:ind w:firstLine="640" w:firstLineChars="200"/>
        <w:rPr>
          <w:rFonts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3</w:t>
      </w:r>
      <w:r>
        <w:rPr>
          <w:rFonts w:hint="eastAsia" w:ascii="TimesNewRoman" w:hAnsi="TimesNewRoman" w:eastAsia="仿宋_GB2312" w:cs="TimesNewRoman"/>
          <w:kern w:val="0"/>
          <w:sz w:val="32"/>
          <w:szCs w:val="32"/>
        </w:rPr>
        <w:t>、“</w:t>
      </w:r>
      <w:r>
        <w:rPr>
          <w:rFonts w:hint="eastAsia" w:ascii="仿宋_GB2312" w:hAnsi="仿宋_GB2312" w:eastAsia="仿宋_GB2312" w:cs="仿宋_GB2312"/>
          <w:b w:val="0"/>
          <w:bCs w:val="0"/>
          <w:sz w:val="32"/>
          <w:szCs w:val="32"/>
          <w:lang w:val="en-US" w:eastAsia="zh-CN"/>
        </w:rPr>
        <w:t>单位劳务保障支出</w:t>
      </w:r>
      <w:r>
        <w:rPr>
          <w:rFonts w:hint="eastAsia" w:ascii="TimesNewRoman" w:hAnsi="TimesNewRoman" w:eastAsia="仿宋_GB2312" w:cs="TimesNewRoman"/>
          <w:kern w:val="0"/>
          <w:sz w:val="32"/>
          <w:szCs w:val="32"/>
        </w:rPr>
        <w:t>”项目。</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sz w:val="32"/>
          <w:szCs w:val="32"/>
        </w:rPr>
        <w:t>本单位聘用人员1人</w:t>
      </w:r>
      <w:r>
        <w:rPr>
          <w:rFonts w:hint="eastAsia" w:ascii="仿宋_GB2312" w:hAnsi="仿宋_GB2312" w:eastAsia="仿宋_GB2312" w:cs="仿宋_GB2312"/>
          <w:sz w:val="32"/>
          <w:szCs w:val="32"/>
          <w:lang w:eastAsia="zh-CN"/>
        </w:rPr>
        <w:t>。</w:t>
      </w:r>
    </w:p>
    <w:p>
      <w:pPr>
        <w:numPr>
          <w:ilvl w:val="0"/>
          <w:numId w:val="0"/>
        </w:numPr>
        <w:ind w:left="630" w:leftChars="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sz w:val="32"/>
          <w:szCs w:val="32"/>
        </w:rPr>
        <w:t>安徽省专业技术（管理）人员聘用合同书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代理人员档案工资通知单</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pPr>
        <w:ind w:firstLine="640" w:firstLineChars="200"/>
        <w:rPr>
          <w:rFonts w:hint="eastAsia" w:ascii="仿宋_GB2312" w:hAnsi="仿宋_GB2312" w:eastAsia="仿宋_GB2312" w:cs="仿宋_GB2312"/>
          <w:sz w:val="32"/>
          <w:szCs w:val="32"/>
          <w:lang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sz w:val="32"/>
          <w:szCs w:val="32"/>
        </w:rPr>
        <w:t>本单位聘用人员1人全年工资，绩效、年终一次性奖励、社会保障缴费（含养老、医疗、大病、失业、工伤、生育保险）、住房公积金、公务费综合定额、工会经费、福利费、职工教育经费</w:t>
      </w:r>
      <w:r>
        <w:rPr>
          <w:rFonts w:hint="eastAsia" w:ascii="仿宋_GB2312" w:hAnsi="仿宋_GB2312" w:eastAsia="仿宋_GB2312" w:cs="仿宋_GB2312"/>
          <w:sz w:val="32"/>
          <w:szCs w:val="32"/>
          <w:lang w:eastAsia="zh-CN"/>
        </w:rPr>
        <w:t>等。</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default" w:ascii="TimesNewRoman" w:hAnsi="TimesNewRoman" w:eastAsia="仿宋_GB2312" w:cs="TimesNewRoman"/>
          <w:kern w:val="0"/>
          <w:sz w:val="32"/>
          <w:szCs w:val="32"/>
          <w:lang w:val="en-US"/>
        </w:rPr>
        <w:t>9</w:t>
      </w:r>
      <w:r>
        <w:rPr>
          <w:rFonts w:hint="eastAsia" w:ascii="TimesNewRoman" w:hAnsi="TimesNewRoman" w:eastAsia="仿宋_GB2312" w:cs="TimesNewRoman"/>
          <w:kern w:val="0"/>
          <w:sz w:val="32"/>
          <w:szCs w:val="32"/>
          <w:lang w:val="en-US" w:eastAsia="zh-CN"/>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cs="宋体"/>
                <w:sz w:val="20"/>
                <w:lang w:eastAsia="zh-CN"/>
              </w:rPr>
              <w:t>淮北市土地储备发展中心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default"/>
                <w:lang w:val="en-US"/>
              </w:rPr>
              <w:t>1</w:t>
            </w:r>
            <w:r>
              <w:rPr>
                <w:rFonts w:hint="eastAsia"/>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ind w:firstLine="349" w:firstLineChars="0"/>
              <w:jc w:val="left"/>
              <w:rPr>
                <w:rFonts w:ascii="宋体" w:cs="宋体"/>
                <w:sz w:val="20"/>
              </w:rPr>
            </w:pPr>
            <w:r>
              <w:rPr>
                <w:rFonts w:hint="eastAsia" w:ascii="宋体" w:cs="宋体"/>
                <w:sz w:val="20"/>
              </w:rPr>
              <w:t>1、本单位聘用人员1人，全年工资，绩效、年终一次性奖励、基础性奖励、社会保障缴费（含养老、医疗、大病、失业、工伤、生育保险）、住房公积金、公务费综合定额、工会经费、福利费、职工教育经费等人员支出合计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指标1：聘用人员劳务费</w:t>
            </w:r>
          </w:p>
        </w:tc>
        <w:tc>
          <w:tcPr>
            <w:tcW w:w="4228" w:type="dxa"/>
            <w:gridSpan w:val="2"/>
            <w:tcBorders>
              <w:tl2br w:val="nil"/>
              <w:tr2bl w:val="nil"/>
            </w:tcBorders>
            <w:noWrap w:val="0"/>
            <w:vAlign w:val="center"/>
          </w:tcPr>
          <w:p>
            <w:pPr>
              <w:jc w:val="center"/>
              <w:rPr>
                <w:rFonts w:ascii="宋体" w:cs="宋体"/>
                <w:sz w:val="20"/>
              </w:rPr>
            </w:pPr>
            <w:r>
              <w:rPr>
                <w:rFonts w:hint="default" w:ascii="宋体" w:cs="宋体"/>
                <w:sz w:val="20"/>
                <w:lang w:val="en-US"/>
              </w:rPr>
              <w:t>=</w:t>
            </w:r>
            <w:r>
              <w:rPr>
                <w:rFonts w:hint="eastAsia" w:ascii="宋体" w:cs="宋体"/>
                <w:sz w:val="20"/>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经费支出的合规性</w:t>
            </w:r>
          </w:p>
        </w:tc>
        <w:tc>
          <w:tcPr>
            <w:tcW w:w="4228" w:type="dxa"/>
            <w:gridSpan w:val="2"/>
            <w:tcBorders>
              <w:tl2br w:val="nil"/>
              <w:tr2bl w:val="nil"/>
            </w:tcBorders>
            <w:noWrap w:val="0"/>
            <w:vAlign w:val="center"/>
          </w:tcPr>
          <w:p>
            <w:pPr>
              <w:ind w:firstLine="600" w:firstLineChars="300"/>
              <w:jc w:val="both"/>
              <w:rPr>
                <w:rFonts w:hint="eastAsia" w:ascii="宋体" w:eastAsia="宋体" w:cs="宋体"/>
                <w:sz w:val="20"/>
                <w:lang w:eastAsia="zh-CN"/>
              </w:rPr>
            </w:pPr>
            <w:r>
              <w:rPr>
                <w:rFonts w:hint="eastAsia" w:ascii="宋体" w:cs="宋体"/>
                <w:sz w:val="20"/>
                <w:lang w:eastAsia="zh-CN"/>
              </w:rPr>
              <w:t>严格执行财经法规制度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经费支出的时效性</w:t>
            </w:r>
          </w:p>
        </w:tc>
        <w:tc>
          <w:tcPr>
            <w:tcW w:w="4228" w:type="dxa"/>
            <w:gridSpan w:val="2"/>
            <w:tcBorders>
              <w:tl2br w:val="nil"/>
              <w:tr2bl w:val="nil"/>
            </w:tcBorders>
            <w:noWrap w:val="0"/>
            <w:vAlign w:val="center"/>
          </w:tcPr>
          <w:p>
            <w:pPr>
              <w:tabs>
                <w:tab w:val="left" w:pos="543"/>
              </w:tabs>
              <w:jc w:val="both"/>
              <w:rPr>
                <w:rFonts w:hint="eastAsia" w:ascii="宋体" w:eastAsia="宋体" w:cs="宋体"/>
                <w:sz w:val="20"/>
                <w:lang w:eastAsia="zh-CN"/>
              </w:rPr>
            </w:pPr>
            <w:r>
              <w:rPr>
                <w:rFonts w:ascii="宋体" w:cs="宋体"/>
                <w:sz w:val="20"/>
              </w:rPr>
              <w:tab/>
            </w:r>
            <w:r>
              <w:rPr>
                <w:rFonts w:hint="eastAsia" w:ascii="宋体" w:cs="宋体"/>
                <w:sz w:val="20"/>
                <w:lang w:eastAsia="zh-CN"/>
              </w:rPr>
              <w:t>按人事核定工资足额支付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tabs>
                <w:tab w:val="left" w:pos="975"/>
              </w:tabs>
              <w:jc w:val="both"/>
              <w:rPr>
                <w:rFonts w:ascii="宋体" w:cs="宋体"/>
                <w:sz w:val="20"/>
              </w:rPr>
            </w:pPr>
            <w:r>
              <w:rPr>
                <w:rFonts w:ascii="宋体" w:cs="宋体"/>
                <w:sz w:val="20"/>
              </w:rPr>
              <w:tab/>
            </w:r>
            <w:r>
              <w:rPr>
                <w:rFonts w:hint="eastAsia" w:ascii="宋体" w:cs="宋体"/>
                <w:sz w:val="20"/>
              </w:rPr>
              <w:t>全年预算安排</w:t>
            </w:r>
            <w:r>
              <w:rPr>
                <w:rFonts w:hint="default" w:ascii="宋体" w:cs="宋体"/>
                <w:sz w:val="20"/>
                <w:lang w:val="en-US"/>
              </w:rPr>
              <w:t>9</w:t>
            </w:r>
            <w:r>
              <w:rPr>
                <w:rFonts w:hint="eastAsia" w:ascii="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保障经济效益平稳发展</w:t>
            </w:r>
          </w:p>
        </w:tc>
        <w:tc>
          <w:tcPr>
            <w:tcW w:w="4228" w:type="dxa"/>
            <w:gridSpan w:val="2"/>
            <w:tcBorders>
              <w:tl2br w:val="nil"/>
              <w:tr2bl w:val="nil"/>
            </w:tcBorders>
            <w:noWrap w:val="0"/>
            <w:vAlign w:val="center"/>
          </w:tcPr>
          <w:p>
            <w:pPr>
              <w:tabs>
                <w:tab w:val="left" w:pos="567"/>
              </w:tabs>
              <w:jc w:val="both"/>
              <w:rPr>
                <w:rFonts w:hint="eastAsia" w:ascii="宋体" w:eastAsia="宋体" w:cs="宋体"/>
                <w:sz w:val="20"/>
                <w:lang w:eastAsia="zh-CN"/>
              </w:rPr>
            </w:pPr>
            <w:r>
              <w:rPr>
                <w:rFonts w:ascii="宋体" w:cs="宋体"/>
                <w:sz w:val="20"/>
              </w:rPr>
              <w:tab/>
            </w:r>
            <w:r>
              <w:rPr>
                <w:rFonts w:hint="eastAsia" w:ascii="宋体" w:cs="宋体"/>
                <w:sz w:val="20"/>
                <w:lang w:eastAsia="zh-CN"/>
              </w:rPr>
              <w:t>促进中心工作平稳有序看展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tabs>
                <w:tab w:val="center" w:pos="1328"/>
              </w:tabs>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保障社会效益平稳发展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pPr>
              <w:tabs>
                <w:tab w:val="left" w:pos="591"/>
              </w:tabs>
              <w:jc w:val="both"/>
              <w:rPr>
                <w:rFonts w:hint="eastAsia" w:ascii="宋体" w:eastAsia="宋体" w:cs="宋体"/>
                <w:sz w:val="20"/>
                <w:lang w:eastAsia="zh-CN"/>
              </w:rPr>
            </w:pPr>
            <w:r>
              <w:rPr>
                <w:rFonts w:ascii="宋体" w:cs="宋体"/>
                <w:sz w:val="20"/>
              </w:rPr>
              <w:tab/>
            </w:r>
            <w:r>
              <w:rPr>
                <w:rFonts w:hint="eastAsia" w:ascii="宋体" w:cs="宋体"/>
                <w:sz w:val="20"/>
                <w:lang w:eastAsia="zh-CN"/>
              </w:rPr>
              <w:t>加大就业，保障社会平稳发展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保障生态效益平稳发展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pPr>
              <w:tabs>
                <w:tab w:val="left" w:pos="255"/>
              </w:tabs>
              <w:jc w:val="both"/>
              <w:rPr>
                <w:rFonts w:hint="eastAsia" w:ascii="宋体" w:eastAsia="宋体" w:cs="宋体"/>
                <w:sz w:val="20"/>
                <w:lang w:eastAsia="zh-CN"/>
              </w:rPr>
            </w:pPr>
            <w:r>
              <w:rPr>
                <w:rFonts w:ascii="宋体" w:cs="宋体"/>
                <w:sz w:val="20"/>
              </w:rPr>
              <w:tab/>
            </w:r>
            <w:r>
              <w:rPr>
                <w:rFonts w:hint="default" w:ascii="宋体" w:cs="宋体"/>
                <w:sz w:val="20"/>
                <w:lang w:val="en-US"/>
              </w:rPr>
              <w:t xml:space="preserve">   </w:t>
            </w:r>
            <w:r>
              <w:rPr>
                <w:rFonts w:hint="eastAsia" w:ascii="宋体" w:cs="宋体"/>
                <w:sz w:val="20"/>
                <w:lang w:eastAsia="zh-CN"/>
              </w:rPr>
              <w:t>维护生态效益平稳发展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使单位效益、社会效益可持续发展</w:t>
            </w:r>
          </w:p>
        </w:tc>
        <w:tc>
          <w:tcPr>
            <w:tcW w:w="4228" w:type="dxa"/>
            <w:gridSpan w:val="2"/>
            <w:tcBorders>
              <w:tl2br w:val="nil"/>
              <w:tr2bl w:val="nil"/>
            </w:tcBorders>
            <w:noWrap w:val="0"/>
            <w:vAlign w:val="center"/>
          </w:tcPr>
          <w:p>
            <w:pPr>
              <w:tabs>
                <w:tab w:val="left" w:pos="303"/>
              </w:tabs>
              <w:jc w:val="both"/>
              <w:rPr>
                <w:rFonts w:ascii="宋体" w:cs="宋体"/>
                <w:sz w:val="20"/>
              </w:rPr>
            </w:pPr>
            <w:r>
              <w:rPr>
                <w:rFonts w:ascii="宋体" w:cs="宋体"/>
                <w:sz w:val="20"/>
              </w:rPr>
              <w:tab/>
            </w:r>
            <w:r>
              <w:rPr>
                <w:rFonts w:hint="default" w:ascii="宋体" w:cs="宋体"/>
                <w:sz w:val="20"/>
                <w:lang w:val="en-US"/>
              </w:rPr>
              <w:t xml:space="preserve">  </w:t>
            </w:r>
            <w:r>
              <w:rPr>
                <w:rFonts w:hint="eastAsia" w:ascii="宋体" w:hAnsi="宋体" w:cs="宋体"/>
                <w:color w:val="000000"/>
                <w:kern w:val="0"/>
                <w:sz w:val="20"/>
                <w:szCs w:val="20"/>
                <w:lang w:eastAsia="zh-CN"/>
              </w:rPr>
              <w:t>使单位效益、社会效益良好、可持续发展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年度目标考核</w:t>
            </w:r>
          </w:p>
        </w:tc>
        <w:tc>
          <w:tcPr>
            <w:tcW w:w="4228" w:type="dxa"/>
            <w:gridSpan w:val="2"/>
            <w:tcBorders>
              <w:tl2br w:val="nil"/>
              <w:tr2bl w:val="nil"/>
            </w:tcBorders>
            <w:noWrap w:val="0"/>
            <w:vAlign w:val="center"/>
          </w:tcPr>
          <w:p>
            <w:pPr>
              <w:tabs>
                <w:tab w:val="left" w:pos="699"/>
              </w:tabs>
              <w:jc w:val="both"/>
              <w:rPr>
                <w:rFonts w:hint="default" w:ascii="宋体" w:eastAsia="宋体" w:cs="宋体"/>
                <w:sz w:val="20"/>
                <w:lang w:val="en-US" w:eastAsia="zh-CN"/>
              </w:rPr>
            </w:pPr>
            <w:r>
              <w:rPr>
                <w:rFonts w:ascii="宋体" w:cs="宋体"/>
                <w:sz w:val="20"/>
              </w:rPr>
              <w:tab/>
            </w:r>
            <w:r>
              <w:rPr>
                <w:rFonts w:hint="eastAsia" w:ascii="宋体" w:hAnsi="宋体" w:cs="宋体"/>
                <w:color w:val="000000"/>
                <w:kern w:val="0"/>
                <w:sz w:val="20"/>
                <w:szCs w:val="20"/>
                <w:lang w:eastAsia="zh-CN"/>
              </w:rPr>
              <w:t>合格</w:t>
            </w:r>
            <w:r>
              <w:rPr>
                <w:rFonts w:hint="default" w:ascii="宋体" w:hAnsi="宋体" w:cs="宋体"/>
                <w:color w:val="000000"/>
                <w:kern w:val="0"/>
                <w:sz w:val="20"/>
                <w:szCs w:val="20"/>
                <w:lang w:val="en-US" w:eastAsia="zh-CN"/>
              </w:rPr>
              <w:t xml:space="preserve">  </w:t>
            </w:r>
            <w:r>
              <w:rPr>
                <w:rFonts w:hint="eastAsia" w:ascii="宋体" w:hAnsi="宋体" w:cs="宋体"/>
                <w:color w:val="000000"/>
                <w:kern w:val="0"/>
                <w:sz w:val="20"/>
                <w:szCs w:val="20"/>
                <w:lang w:val="en-US" w:eastAsia="zh-CN"/>
              </w:rPr>
              <w:t>优秀</w:t>
            </w:r>
          </w:p>
        </w:tc>
      </w:tr>
    </w:tbl>
    <w:p>
      <w:pPr>
        <w:adjustRightInd w:val="0"/>
        <w:snapToGrid w:val="0"/>
        <w:spacing w:line="580" w:lineRule="exact"/>
        <w:ind w:firstLine="643" w:firstLineChars="200"/>
        <w:rPr>
          <w:rFonts w:ascii="TimesNewRoman" w:hAnsi="TimesNewRoman" w:eastAsia="仿宋_GB2312" w:cs="TimesNewRoman"/>
          <w:b/>
          <w:sz w:val="32"/>
          <w:szCs w:val="32"/>
        </w:rPr>
      </w:pPr>
      <w:bookmarkStart w:id="0" w:name="_GoBack"/>
      <w:bookmarkEnd w:id="0"/>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2024年政府采购预算</w:t>
      </w:r>
      <w:r>
        <w:rPr>
          <w:rFonts w:hint="default" w:ascii="TimesNewRoman" w:hAnsi="TimesNewRoman" w:eastAsia="仿宋_GB2312" w:cs="TimesNewRoman"/>
          <w:kern w:val="0"/>
          <w:sz w:val="32"/>
          <w:szCs w:val="32"/>
          <w:lang w:val="en-US"/>
        </w:rPr>
        <w:t>150.30</w:t>
      </w:r>
      <w:r>
        <w:rPr>
          <w:rFonts w:hint="eastAsia" w:ascii="TimesNewRoman" w:hAnsi="TimesNewRoman" w:eastAsia="仿宋_GB2312" w:cs="TimesNewRoman"/>
          <w:kern w:val="0"/>
          <w:sz w:val="32"/>
          <w:szCs w:val="32"/>
        </w:rPr>
        <w:t>万元。其中：政府采购货物预算</w:t>
      </w:r>
      <w:r>
        <w:rPr>
          <w:rFonts w:hint="default" w:ascii="TimesNewRoman" w:hAnsi="TimesNewRoman" w:eastAsia="仿宋_GB2312" w:cs="TimesNewRoman"/>
          <w:kern w:val="0"/>
          <w:sz w:val="32"/>
          <w:szCs w:val="32"/>
          <w:lang w:val="en-US"/>
        </w:rPr>
        <w:t>0.3</w:t>
      </w:r>
      <w:r>
        <w:rPr>
          <w:rFonts w:hint="eastAsia" w:ascii="TimesNewRoman" w:hAnsi="TimesNewRoman" w:eastAsia="仿宋_GB2312" w:cs="TimesNewRoman"/>
          <w:kern w:val="0"/>
          <w:sz w:val="32"/>
          <w:szCs w:val="32"/>
        </w:rPr>
        <w:t>万元，政府采购工程预算</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万元，政府采购服务预算</w:t>
      </w:r>
      <w:r>
        <w:rPr>
          <w:rFonts w:hint="default" w:ascii="TimesNewRoman" w:hAnsi="TimesNewRoman" w:eastAsia="仿宋_GB2312" w:cs="TimesNewRoman"/>
          <w:kern w:val="0"/>
          <w:sz w:val="32"/>
          <w:szCs w:val="32"/>
          <w:lang w:val="en-US"/>
        </w:rPr>
        <w:t>150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共有车辆</w:t>
      </w:r>
      <w:r>
        <w:rPr>
          <w:rFonts w:hint="default" w:ascii="TimesNewRoman" w:hAnsi="TimesNewRoman" w:eastAsia="仿宋_GB2312" w:cs="TimesNewRoman"/>
          <w:kern w:val="0"/>
          <w:sz w:val="32"/>
          <w:szCs w:val="32"/>
          <w:lang w:val="en-US"/>
        </w:rPr>
        <w:t>1</w:t>
      </w:r>
      <w:r>
        <w:rPr>
          <w:rFonts w:hint="eastAsia" w:ascii="TimesNewRoman" w:hAnsi="TimesNewRoman" w:eastAsia="仿宋_GB2312" w:cs="TimesNewRoman"/>
          <w:kern w:val="0"/>
          <w:sz w:val="32"/>
          <w:szCs w:val="32"/>
        </w:rPr>
        <w:t>辆，其中：其他用车</w:t>
      </w:r>
      <w:r>
        <w:rPr>
          <w:rFonts w:hint="default" w:ascii="TimesNewRoman" w:hAnsi="TimesNewRoman" w:eastAsia="仿宋_GB2312" w:cs="TimesNewRoman"/>
          <w:kern w:val="0"/>
          <w:sz w:val="32"/>
          <w:szCs w:val="32"/>
          <w:lang w:val="en-US"/>
        </w:rPr>
        <w:t>1</w:t>
      </w:r>
      <w:r>
        <w:rPr>
          <w:rFonts w:hint="eastAsia" w:ascii="TimesNewRoman" w:hAnsi="TimesNewRoman" w:eastAsia="仿宋_GB2312" w:cs="TimesNewRoman"/>
          <w:kern w:val="0"/>
          <w:sz w:val="32"/>
          <w:szCs w:val="32"/>
        </w:rPr>
        <w:t>辆。单价50万元以上的通用设备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台（套），单价100万元以上的专用设备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淮北市土地储备发展中心</w:t>
      </w:r>
      <w:r>
        <w:rPr>
          <w:rFonts w:hint="eastAsia" w:ascii="TimesNewRoman" w:hAnsi="TimesNewRoman" w:eastAsia="仿宋_GB2312" w:cs="TimesNewRoman"/>
          <w:kern w:val="0"/>
          <w:sz w:val="32"/>
          <w:szCs w:val="32"/>
        </w:rPr>
        <w:t>预算安排购置公务用车</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辆，购置费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万元；安排购置单价50万元以上的通用设备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万元；安排购置单价100万元以上专用设备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w:t>
      </w:r>
      <w:r>
        <w:rPr>
          <w:rFonts w:hint="eastAsia" w:ascii="TimesNewRoman" w:hAnsi="TimesNewRoman" w:eastAsia="仿宋_GB2312" w:cs="TimesNewRoman"/>
          <w:kern w:val="0"/>
          <w:sz w:val="32"/>
          <w:szCs w:val="32"/>
          <w:lang w:eastAsia="zh-CN"/>
        </w:rPr>
        <w:t>土地储备发展中心</w:t>
      </w:r>
      <w:r>
        <w:rPr>
          <w:rFonts w:hint="default" w:ascii="TimesNewRoman" w:hAnsi="TimesNewRoman" w:eastAsia="仿宋_GB2312" w:cs="TimesNewRoman"/>
          <w:kern w:val="0"/>
          <w:sz w:val="32"/>
          <w:szCs w:val="32"/>
          <w:lang w:val="en-US"/>
        </w:rPr>
        <w:t>3</w:t>
      </w:r>
      <w:r>
        <w:rPr>
          <w:rFonts w:hint="eastAsia" w:ascii="TimesNewRoman" w:hAnsi="TimesNewRoman" w:eastAsia="仿宋_GB2312" w:cs="TimesNewRoman"/>
          <w:kern w:val="0"/>
          <w:sz w:val="32"/>
          <w:szCs w:val="32"/>
        </w:rPr>
        <w:t>个项目实行了绩效目标管理，涉及一般公共预算当年财政拨款</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万元、政府性基金预算当年财政拨款</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万元、财政专户管理资金当年安排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pPr>
        <w:pStyle w:val="7"/>
        <w:adjustRightInd w:val="0"/>
        <w:snapToGrid w:val="0"/>
        <w:spacing w:line="560" w:lineRule="exact"/>
        <w:jc w:val="center"/>
        <w:rPr>
          <w:rFonts w:ascii="TimesNewRoman" w:hAnsi="TimesNewRoman" w:eastAsia="黑体" w:cs="TimesNewRoman"/>
          <w:bCs/>
          <w:sz w:val="36"/>
          <w:szCs w:val="36"/>
        </w:rPr>
      </w:pP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NewRoman">
    <w:altName w:val="Arial Unicode MS"/>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1355301"/>
    <w:rsid w:val="013C0C91"/>
    <w:rsid w:val="02D042E4"/>
    <w:rsid w:val="02FB75C8"/>
    <w:rsid w:val="03C04493"/>
    <w:rsid w:val="042467BA"/>
    <w:rsid w:val="04AF1159"/>
    <w:rsid w:val="04F2385A"/>
    <w:rsid w:val="07EE3113"/>
    <w:rsid w:val="0E814CAE"/>
    <w:rsid w:val="0EA50367"/>
    <w:rsid w:val="0EFA26ED"/>
    <w:rsid w:val="1087797F"/>
    <w:rsid w:val="11744BCF"/>
    <w:rsid w:val="13201CD3"/>
    <w:rsid w:val="13286BEC"/>
    <w:rsid w:val="13880330"/>
    <w:rsid w:val="13980764"/>
    <w:rsid w:val="15D64AFA"/>
    <w:rsid w:val="178D4EE1"/>
    <w:rsid w:val="18CD5654"/>
    <w:rsid w:val="1A1B0DF2"/>
    <w:rsid w:val="1A7402A7"/>
    <w:rsid w:val="1A7A6D0C"/>
    <w:rsid w:val="1ADB4CC3"/>
    <w:rsid w:val="1B235885"/>
    <w:rsid w:val="1B36788E"/>
    <w:rsid w:val="1D89066D"/>
    <w:rsid w:val="1E7465E7"/>
    <w:rsid w:val="1E8805F9"/>
    <w:rsid w:val="21227DFF"/>
    <w:rsid w:val="23F90705"/>
    <w:rsid w:val="24294DA5"/>
    <w:rsid w:val="25FC5DA8"/>
    <w:rsid w:val="273675CA"/>
    <w:rsid w:val="27507ABB"/>
    <w:rsid w:val="28073AAD"/>
    <w:rsid w:val="282F7E29"/>
    <w:rsid w:val="286E4372"/>
    <w:rsid w:val="28765FB0"/>
    <w:rsid w:val="29450890"/>
    <w:rsid w:val="299D0B23"/>
    <w:rsid w:val="2B1F535E"/>
    <w:rsid w:val="2B77402E"/>
    <w:rsid w:val="2BEA196D"/>
    <w:rsid w:val="2CC37C19"/>
    <w:rsid w:val="2D510693"/>
    <w:rsid w:val="2DB370EE"/>
    <w:rsid w:val="2DFC008A"/>
    <w:rsid w:val="2E5C6C0F"/>
    <w:rsid w:val="2EEF707C"/>
    <w:rsid w:val="2FAD7F55"/>
    <w:rsid w:val="3017586A"/>
    <w:rsid w:val="32EA7C24"/>
    <w:rsid w:val="333B7873"/>
    <w:rsid w:val="333F25D2"/>
    <w:rsid w:val="337C7198"/>
    <w:rsid w:val="33A1056A"/>
    <w:rsid w:val="33D45EEF"/>
    <w:rsid w:val="34B62C60"/>
    <w:rsid w:val="36514CDA"/>
    <w:rsid w:val="3712782D"/>
    <w:rsid w:val="38F2354D"/>
    <w:rsid w:val="3B581E16"/>
    <w:rsid w:val="3CCC50B8"/>
    <w:rsid w:val="3CFA240C"/>
    <w:rsid w:val="3DB95291"/>
    <w:rsid w:val="3E28436C"/>
    <w:rsid w:val="3F015004"/>
    <w:rsid w:val="3F6741BC"/>
    <w:rsid w:val="40112A59"/>
    <w:rsid w:val="42F636F8"/>
    <w:rsid w:val="42FA7473"/>
    <w:rsid w:val="4349769A"/>
    <w:rsid w:val="435D2C23"/>
    <w:rsid w:val="45ED29F9"/>
    <w:rsid w:val="46F03FE0"/>
    <w:rsid w:val="471A5550"/>
    <w:rsid w:val="48435B3D"/>
    <w:rsid w:val="48A539CD"/>
    <w:rsid w:val="4B4B0822"/>
    <w:rsid w:val="4B525571"/>
    <w:rsid w:val="4BF80C1A"/>
    <w:rsid w:val="4C064A55"/>
    <w:rsid w:val="4C427C57"/>
    <w:rsid w:val="4D3E72C4"/>
    <w:rsid w:val="4E234399"/>
    <w:rsid w:val="515028D8"/>
    <w:rsid w:val="524D46D5"/>
    <w:rsid w:val="53913210"/>
    <w:rsid w:val="54DF1EE0"/>
    <w:rsid w:val="553441A0"/>
    <w:rsid w:val="559F6313"/>
    <w:rsid w:val="561305AD"/>
    <w:rsid w:val="56A420D0"/>
    <w:rsid w:val="56AF1599"/>
    <w:rsid w:val="56FA53F9"/>
    <w:rsid w:val="57C67B65"/>
    <w:rsid w:val="5852768A"/>
    <w:rsid w:val="5B937E0E"/>
    <w:rsid w:val="5C614FE3"/>
    <w:rsid w:val="5D2A7F05"/>
    <w:rsid w:val="5EC84043"/>
    <w:rsid w:val="63302803"/>
    <w:rsid w:val="641A2819"/>
    <w:rsid w:val="64CB0AC1"/>
    <w:rsid w:val="67250A7A"/>
    <w:rsid w:val="67C71AE5"/>
    <w:rsid w:val="69CE6448"/>
    <w:rsid w:val="69E233EB"/>
    <w:rsid w:val="6D6A4D4E"/>
    <w:rsid w:val="6DDE08EC"/>
    <w:rsid w:val="6F4B730C"/>
    <w:rsid w:val="6FD76094"/>
    <w:rsid w:val="703D4618"/>
    <w:rsid w:val="70B4068F"/>
    <w:rsid w:val="717E7739"/>
    <w:rsid w:val="748E6C1B"/>
    <w:rsid w:val="75141436"/>
    <w:rsid w:val="770219BF"/>
    <w:rsid w:val="775F5A15"/>
    <w:rsid w:val="78FB5923"/>
    <w:rsid w:val="79EA53A1"/>
    <w:rsid w:val="7B54238A"/>
    <w:rsid w:val="7B8719FF"/>
    <w:rsid w:val="7BF9482C"/>
    <w:rsid w:val="7DBB7106"/>
    <w:rsid w:val="7E180019"/>
    <w:rsid w:val="7E2965EB"/>
    <w:rsid w:val="7E520C29"/>
    <w:rsid w:val="7F29518B"/>
    <w:rsid w:val="7F2A7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2">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32</TotalTime>
  <ScaleCrop>false</ScaleCrop>
  <LinksUpToDate>false</LinksUpToDate>
  <CharactersWithSpaces>6578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cp:lastPrinted>2024-02-28T09:06:00Z</cp:lastPrinted>
  <dcterms:modified xsi:type="dcterms:W3CDTF">2024-03-01T08:38:55Z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BCFB007C6C8E43DBB0D39C87C4F9905A</vt:lpwstr>
  </property>
</Properties>
</file>