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NewRoman" w:hAnsi="TimesNewRoman" w:eastAsia="黑体" w:cs="TimesNewRoman"/>
          <w:szCs w:val="32"/>
        </w:rPr>
      </w:pPr>
      <w:r>
        <w:rPr>
          <w:rFonts w:hint="eastAsia" w:ascii="TimesNewRoman" w:hAnsi="TimesNewRoman" w:eastAsia="黑体" w:cs="TimesNewRoman"/>
          <w:szCs w:val="32"/>
        </w:rPr>
        <w:t>附件1-1</w:t>
      </w:r>
    </w:p>
    <w:p/>
    <w:p/>
    <w:p/>
    <w:p/>
    <w:p/>
    <w:p/>
    <w:p/>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淮北市国土资源局开发区分局2024年</w:t>
      </w:r>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单位预算</w:t>
      </w:r>
    </w:p>
    <w:p/>
    <w:p/>
    <w:p/>
    <w:p/>
    <w:p/>
    <w:p/>
    <w:p/>
    <w:p/>
    <w:p/>
    <w:p/>
    <w:p/>
    <w:p/>
    <w:p/>
    <w:p/>
    <w:p/>
    <w:p/>
    <w:p/>
    <w:p/>
    <w:p/>
    <w:p/>
    <w:p/>
    <w:p/>
    <w:p>
      <w:pPr>
        <w:pStyle w:val="5"/>
        <w:adjustRightInd w:val="0"/>
        <w:snapToGrid w:val="0"/>
        <w:spacing w:line="560" w:lineRule="exact"/>
        <w:jc w:val="center"/>
        <w:rPr>
          <w:rFonts w:ascii="TimesNewRoman" w:hAnsi="TimesNewRoman" w:eastAsia="黑体" w:cs="TimesNewRoman"/>
          <w:bCs/>
          <w:sz w:val="44"/>
          <w:szCs w:val="44"/>
        </w:rPr>
      </w:pPr>
    </w:p>
    <w:p>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2024年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p/>
    <w:p>
      <w:pPr>
        <w:pStyle w:val="5"/>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第一部分 </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概况</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w:t>
      </w:r>
      <w:r>
        <w:rPr>
          <w:rFonts w:hint="eastAsia" w:ascii="TimesNewRoman" w:hAnsi="TimesNewRoman" w:eastAsia="仿宋_GB2312" w:cs="TimesNewRoman"/>
          <w:bCs/>
          <w:sz w:val="32"/>
          <w:szCs w:val="32"/>
          <w:lang w:eastAsia="zh-CN"/>
        </w:rPr>
        <w:t>单位</w:t>
      </w:r>
      <w:r>
        <w:rPr>
          <w:rFonts w:hint="eastAsia" w:ascii="TimesNewRoman" w:hAnsi="TimesNewRoman" w:eastAsia="仿宋_GB2312" w:cs="TimesNewRoman"/>
          <w:bCs/>
          <w:sz w:val="32"/>
          <w:szCs w:val="32"/>
        </w:rPr>
        <w:t>预算构成</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 、2024年度主要工作任务</w:t>
      </w:r>
    </w:p>
    <w:p>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 2024年</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预算表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1、淮北市国土资源局开发区分局2024年收支总表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2、淮北市国土资源局开发区分局2024年收入总表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3、淮北市国土资源局开发区分局2024年支出总表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4、淮北市国土资源局开发区分局2024年财政拨款收支总表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5、淮北市国土资源局开发区分局2024年一般公共预算支出表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6、淮北市国土资源局开发区分局2024年一般公共预算基本支出表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7、淮北市国土资源局开发区分局2024年政府性基金预算支出表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8、淮北市国土资源局开发区分局2024年国有资本经营预算支出表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9、淮北市国土资源局开发区分局2024年项目支出表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10、淮北市国土资源局开发区分局2024年政府采购支出表</w:t>
      </w:r>
    </w:p>
    <w:p>
      <w:pPr>
        <w:pStyle w:val="5"/>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11、淮北市国土资源局开发区分局2024年政府购买服务支出表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12、淮北市国土资源局开发区分局</w:t>
      </w:r>
      <w:r>
        <w:rPr>
          <w:rFonts w:ascii="TimesNewRoman" w:hAnsi="TimesNewRoman" w:eastAsia="仿宋_GB2312" w:cs="TimesNewRoman"/>
          <w:bCs/>
          <w:sz w:val="32"/>
          <w:szCs w:val="32"/>
        </w:rPr>
        <w:t>2024年通用资产配置支出表</w:t>
      </w:r>
    </w:p>
    <w:p>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第三部分 2024年</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预算情况说明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1、关于2024年收支总表的说明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2、关于2024年收入总表的说明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3、关于2024年支出总表的说明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4、关于2024年财政拨款收支总表的说明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5、关于2024年一般公共预算支出表的说明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6、关于2024年一般公共预算基本支出表的说明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7、关于2024年政府性基金预算支出表的说明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8、关于2024年国有资本经营预算支出表的说明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9、关于2024年项目支出表的说明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10、关于2024年政府采购支出表的说明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11、关于2024年政府购买服务支出表的说明</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pPr>
        <w:pStyle w:val="5"/>
        <w:adjustRightInd w:val="0"/>
        <w:snapToGrid w:val="0"/>
        <w:spacing w:line="40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1、淮北市国土资源局开发区分局2024年部门预算纳入绩效考评项目表</w:t>
      </w:r>
    </w:p>
    <w:p>
      <w:pPr>
        <w:pStyle w:val="5"/>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2、淮北市国土资源局开发区分局2024年部门预算专项资金管理清单（专栏公开）</w:t>
      </w:r>
    </w:p>
    <w:p>
      <w:pPr>
        <w:pStyle w:val="5"/>
        <w:adjustRightInd w:val="0"/>
        <w:snapToGrid w:val="0"/>
        <w:spacing w:line="400" w:lineRule="exact"/>
        <w:ind w:firstLine="800" w:firstLineChars="250"/>
        <w:rPr>
          <w:rFonts w:ascii="TimesNewRoman" w:hAnsi="TimesNewRoman" w:eastAsia="仿宋_GB2312" w:cs="TimesNewRoman"/>
          <w:bCs/>
          <w:sz w:val="32"/>
          <w:szCs w:val="32"/>
        </w:rPr>
      </w:pPr>
    </w:p>
    <w:p>
      <w:pPr>
        <w:pStyle w:val="5"/>
        <w:adjustRightInd w:val="0"/>
        <w:snapToGrid w:val="0"/>
        <w:spacing w:line="560" w:lineRule="exact"/>
        <w:jc w:val="center"/>
      </w:pPr>
      <w:r>
        <w:rPr>
          <w:rFonts w:hint="eastAsia" w:ascii="TimesNewRoman" w:hAnsi="TimesNewRoman" w:eastAsia="黑体" w:cs="TimesNewRoman"/>
          <w:bCs/>
          <w:sz w:val="36"/>
          <w:szCs w:val="36"/>
        </w:rPr>
        <w:t xml:space="preserve">第一部分 </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概况</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pStyle w:val="5"/>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淮北市国土资源局开发区分局负责监督淮北经济开发区内土地规划执行情况，查处土地违法案件；负责办理经济开发区内土地报批、征收；负责实施地政地籍管理，核发《国有土地使用证》；负责办理土地使用权转让审批；负责办理工业用地招拍挂出让事务性工作。具体主要职责如下：</w:t>
      </w:r>
    </w:p>
    <w:p>
      <w:pPr>
        <w:pStyle w:val="5"/>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1、国有建设用地使用权划拨审批。</w:t>
      </w:r>
    </w:p>
    <w:p>
      <w:pPr>
        <w:pStyle w:val="5"/>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2、国有建设用地土地使用权和地上建筑物、其他附着物所</w:t>
      </w:r>
    </w:p>
    <w:p>
      <w:pPr>
        <w:pStyle w:val="5"/>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有权分割转让批准。</w:t>
      </w:r>
    </w:p>
    <w:p>
      <w:pPr>
        <w:pStyle w:val="5"/>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建设项目用地预审与选址意见书。</w:t>
      </w:r>
    </w:p>
    <w:p>
      <w:pPr>
        <w:pStyle w:val="5"/>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4、建设项目用地规划许可证。</w:t>
      </w:r>
    </w:p>
    <w:p>
      <w:pPr>
        <w:pStyle w:val="5"/>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5、建设项目工程规划许可证。</w:t>
      </w:r>
    </w:p>
    <w:p>
      <w:pPr>
        <w:pStyle w:val="5"/>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6、修建性详细规划（含建设工程设计）方案审定。</w:t>
      </w:r>
    </w:p>
    <w:p>
      <w:pPr>
        <w:pStyle w:val="5"/>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7、建设工程规划核实。</w:t>
      </w:r>
    </w:p>
    <w:p>
      <w:pPr>
        <w:pStyle w:val="5"/>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8、建设工程验线核准。</w:t>
      </w:r>
    </w:p>
    <w:p>
      <w:pPr>
        <w:pStyle w:val="5"/>
        <w:adjustRightInd w:val="0"/>
        <w:snapToGrid w:val="0"/>
        <w:spacing w:line="560" w:lineRule="exact"/>
        <w:ind w:firstLine="627" w:firstLineChars="196"/>
        <w:rPr>
          <w:rFonts w:hint="eastAsia" w:ascii="TimesNewRoman" w:hAnsi="TimesNewRoman" w:eastAsia="仿宋_GB2312" w:cs="TimesNewRoman"/>
          <w:sz w:val="32"/>
          <w:szCs w:val="32"/>
        </w:rPr>
      </w:pPr>
    </w:p>
    <w:p>
      <w:pPr>
        <w:pStyle w:val="5"/>
        <w:adjustRightInd w:val="0"/>
        <w:snapToGrid w:val="0"/>
        <w:spacing w:line="560" w:lineRule="exact"/>
        <w:ind w:firstLine="627" w:firstLineChars="196"/>
        <w:rPr>
          <w:rFonts w:hint="eastAsia" w:ascii="TimesNewRoman" w:hAnsi="TimesNewRoman" w:eastAsia="仿宋_GB2312" w:cs="TimesNewRoman"/>
          <w:sz w:val="32"/>
          <w:szCs w:val="32"/>
        </w:rPr>
      </w:pP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w:t>
      </w:r>
      <w:r>
        <w:rPr>
          <w:rFonts w:hint="eastAsia" w:ascii="TimesNewRoman" w:hAnsi="TimesNewRoman" w:eastAsia="黑体" w:cs="TimesNewRoman"/>
          <w:bCs/>
          <w:sz w:val="32"/>
          <w:szCs w:val="32"/>
          <w:lang w:eastAsia="zh-CN"/>
        </w:rPr>
        <w:t>单位</w:t>
      </w:r>
      <w:r>
        <w:rPr>
          <w:rFonts w:hint="eastAsia" w:ascii="TimesNewRoman" w:hAnsi="TimesNewRoman" w:eastAsia="黑体" w:cs="TimesNewRoman"/>
          <w:bCs/>
          <w:sz w:val="32"/>
          <w:szCs w:val="32"/>
        </w:rPr>
        <w:t>预算构成</w:t>
      </w:r>
    </w:p>
    <w:p>
      <w:pPr>
        <w:pStyle w:val="5"/>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（部门预算构成：）从预算单位构成看，</w:t>
      </w:r>
      <w:r>
        <w:rPr>
          <w:rFonts w:hint="eastAsia" w:ascii="TimesNewRoman" w:hAnsi="TimesNewRoman" w:eastAsia="仿宋_GB2312" w:cs="TimesNewRoman"/>
          <w:bCs/>
          <w:sz w:val="32"/>
          <w:szCs w:val="32"/>
        </w:rPr>
        <w:t>淮北市国土资源局开发区分局</w:t>
      </w:r>
      <w:r>
        <w:rPr>
          <w:rFonts w:hint="eastAsia" w:ascii="TimesNewRoman" w:hAnsi="TimesNewRoman" w:eastAsia="仿宋_GB2312" w:cs="TimesNewRoman"/>
          <w:sz w:val="32"/>
          <w:szCs w:val="32"/>
        </w:rPr>
        <w:t>2024年度部门预算仅包括本级预算，无其他下属单位预算。</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三、2024年度主要工作任务</w:t>
      </w:r>
    </w:p>
    <w:p>
      <w:pPr>
        <w:pStyle w:val="5"/>
        <w:adjustRightInd w:val="0"/>
        <w:snapToGrid w:val="0"/>
        <w:spacing w:line="560" w:lineRule="exact"/>
        <w:ind w:firstLine="627" w:firstLineChars="196"/>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1、开展批而未供等“四未”土地摸底排查，逐宗到地块，完成更新上图工作，并完成本年度的土地批而未供处置工作；</w:t>
      </w:r>
    </w:p>
    <w:p>
      <w:pPr>
        <w:pStyle w:val="5"/>
        <w:adjustRightInd w:val="0"/>
        <w:snapToGrid w:val="0"/>
        <w:spacing w:line="560" w:lineRule="exact"/>
        <w:ind w:firstLine="627" w:firstLineChars="196"/>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2、强化规划管理，按照“布局集中，用地集约和产业集聚”原则，宣传和引导企业进标准化厂房，尽量不占耕地，少占耕地；</w:t>
      </w:r>
    </w:p>
    <w:p>
      <w:pPr>
        <w:pStyle w:val="5"/>
        <w:adjustRightInd w:val="0"/>
        <w:snapToGrid w:val="0"/>
        <w:spacing w:line="560" w:lineRule="exact"/>
        <w:ind w:firstLine="627" w:firstLineChars="196"/>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3、为简化办事程序，提高办事效率，创新性开展低风险工程项目审批服务，实行“清单+告知承诺制”审批工作；</w:t>
      </w:r>
    </w:p>
    <w:p>
      <w:pPr>
        <w:pStyle w:val="5"/>
        <w:adjustRightInd w:val="0"/>
        <w:snapToGrid w:val="0"/>
        <w:spacing w:line="560" w:lineRule="exact"/>
        <w:ind w:firstLine="627" w:firstLineChars="196"/>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4、为保障项目用地，积极开展项目用地组卷报批工作；</w:t>
      </w:r>
    </w:p>
    <w:p>
      <w:pPr>
        <w:pStyle w:val="5"/>
        <w:adjustRightInd w:val="0"/>
        <w:snapToGrid w:val="0"/>
        <w:spacing w:line="560" w:lineRule="exact"/>
        <w:ind w:firstLine="627" w:firstLineChars="196"/>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5、积极开展招商引资工作，对接市开发区招商信息资源；</w:t>
      </w:r>
    </w:p>
    <w:p>
      <w:pPr>
        <w:pStyle w:val="5"/>
        <w:adjustRightInd w:val="0"/>
        <w:snapToGrid w:val="0"/>
        <w:spacing w:line="560" w:lineRule="exact"/>
        <w:ind w:firstLine="627" w:firstLineChars="196"/>
        <w:rPr>
          <w:rFonts w:hint="eastAsia" w:ascii="TimesNewRoman" w:hAnsi="TimesNewRoman" w:eastAsia="仿宋_GB2312" w:cs="TimesNewRoman"/>
          <w:kern w:val="0"/>
          <w:sz w:val="32"/>
          <w:szCs w:val="32"/>
          <w:lang w:val="en-US" w:eastAsia="zh-CN" w:bidi="ar-SA"/>
        </w:rPr>
      </w:pPr>
      <w:r>
        <w:rPr>
          <w:rFonts w:hint="eastAsia" w:ascii="TimesNewRoman" w:hAnsi="TimesNewRoman" w:eastAsia="仿宋_GB2312" w:cs="TimesNewRoman"/>
          <w:kern w:val="0"/>
          <w:sz w:val="32"/>
          <w:szCs w:val="32"/>
          <w:lang w:val="en-US" w:eastAsia="zh-CN" w:bidi="ar-SA"/>
        </w:rPr>
        <w:t>6、现场检查项目供后开工建设情况，完善开发区网上供后监管系统的填报、更新等工作。</w:t>
      </w:r>
    </w:p>
    <w:p/>
    <w:p>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第二部分 2024年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预算表</w:t>
      </w:r>
    </w:p>
    <w:p>
      <w:pPr>
        <w:pStyle w:val="5"/>
        <w:adjustRightInd w:val="0"/>
        <w:snapToGrid w:val="0"/>
        <w:spacing w:line="560" w:lineRule="exact"/>
        <w:ind w:firstLine="627" w:firstLineChars="196"/>
        <w:jc w:val="center"/>
        <w:rPr>
          <w:rFonts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r>
        <w:t xml:space="preserve">                                        </w:t>
      </w:r>
    </w:p>
    <w:p/>
    <w:p/>
    <w:p>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第三部分 2024年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预算情况说明</w:t>
      </w:r>
    </w:p>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一、关于2024年收支总表的说明</w:t>
      </w:r>
    </w:p>
    <w:p>
      <w:pPr>
        <w:pStyle w:val="5"/>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w:t>
      </w:r>
      <w:r>
        <w:rPr>
          <w:rFonts w:hint="eastAsia" w:ascii="TimesNewRoman" w:hAnsi="TimesNewRoman" w:eastAsia="仿宋_GB2312" w:cs="TimesNewRoman"/>
          <w:bCs/>
          <w:sz w:val="32"/>
          <w:szCs w:val="32"/>
        </w:rPr>
        <w:t>淮北市国土资源局开发区分局</w:t>
      </w:r>
      <w:r>
        <w:rPr>
          <w:rFonts w:hint="eastAsia" w:ascii="TimesNewRoman" w:hAnsi="TimesNewRoman" w:eastAsia="仿宋_GB2312" w:cs="TimesNewRoman"/>
          <w:sz w:val="32"/>
          <w:szCs w:val="32"/>
        </w:rPr>
        <w:t>所有收入和支出均纳入</w:t>
      </w:r>
      <w:r>
        <w:rPr>
          <w:rFonts w:hint="eastAsia" w:ascii="TimesNewRoman" w:hAnsi="TimesNewRoman" w:eastAsia="仿宋_GB2312" w:cs="TimesNewRoman"/>
          <w:bCs/>
          <w:sz w:val="32"/>
          <w:szCs w:val="32"/>
          <w:lang w:eastAsia="zh-CN"/>
        </w:rPr>
        <w:t>单位</w:t>
      </w:r>
      <w:r>
        <w:rPr>
          <w:rFonts w:hint="eastAsia" w:ascii="TimesNewRoman" w:hAnsi="TimesNewRoman" w:eastAsia="仿宋_GB2312" w:cs="TimesNewRoman"/>
          <w:sz w:val="32"/>
          <w:szCs w:val="32"/>
        </w:rPr>
        <w:t>预算管理。</w:t>
      </w:r>
      <w:r>
        <w:rPr>
          <w:rFonts w:hint="eastAsia" w:ascii="TimesNewRoman" w:hAnsi="TimesNewRoman" w:eastAsia="仿宋_GB2312" w:cs="TimesNewRoman"/>
          <w:bCs/>
          <w:sz w:val="32"/>
          <w:szCs w:val="32"/>
        </w:rPr>
        <w:t>淮北市国土资源局开发区分局</w:t>
      </w:r>
      <w:r>
        <w:rPr>
          <w:rFonts w:hint="eastAsia" w:ascii="TimesNewRoman" w:hAnsi="TimesNewRoman" w:eastAsia="仿宋_GB2312" w:cs="TimesNewRoman"/>
          <w:sz w:val="32"/>
          <w:szCs w:val="32"/>
        </w:rPr>
        <w:t>2024年收支总预算</w:t>
      </w:r>
      <w:r>
        <w:rPr>
          <w:rFonts w:hint="eastAsia" w:ascii="TimesNewRoman" w:hAnsi="TimesNewRoman" w:eastAsia="仿宋_GB2312" w:cs="TimesNewRoman"/>
          <w:sz w:val="32"/>
          <w:szCs w:val="32"/>
          <w:lang w:val="en-US" w:eastAsia="zh-CN"/>
        </w:rPr>
        <w:t>161.18</w:t>
      </w:r>
      <w:r>
        <w:rPr>
          <w:rFonts w:hint="eastAsia" w:ascii="TimesNewRoman" w:hAnsi="TimesNewRoman" w:eastAsia="仿宋_GB2312" w:cs="TimesNewRoman"/>
          <w:sz w:val="32"/>
          <w:szCs w:val="32"/>
        </w:rPr>
        <w:t>万元，收入包括一般公共预算拨款收入、政府性基金预算拨款收入，支出包括：社会保障和就业支出、卫生健康支出、城乡社区支出</w:t>
      </w:r>
      <w:r>
        <w:rPr>
          <w:rFonts w:hint="eastAsia" w:ascii="TimesNewRoman" w:hAnsi="TimesNewRoman" w:eastAsia="仿宋_GB2312" w:cs="TimesNewRoman"/>
          <w:sz w:val="32"/>
          <w:szCs w:val="32"/>
          <w:lang w:eastAsia="zh-CN"/>
        </w:rPr>
        <w:t>、自然资源海洋气象等支出、</w:t>
      </w:r>
      <w:r>
        <w:rPr>
          <w:rFonts w:hint="eastAsia" w:ascii="TimesNewRoman" w:hAnsi="TimesNewRoman" w:eastAsia="仿宋_GB2312" w:cs="TimesNewRoman"/>
          <w:sz w:val="32"/>
          <w:szCs w:val="32"/>
        </w:rPr>
        <w:t>住房保障支出。</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二、关于2024年收入总表的说明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淮北市国土资源局开发区分局</w:t>
      </w:r>
      <w:r>
        <w:rPr>
          <w:rFonts w:hint="eastAsia" w:ascii="TimesNewRoman" w:hAnsi="TimesNewRoman" w:eastAsia="仿宋_GB2312" w:cs="TimesNewRoman"/>
          <w:kern w:val="0"/>
          <w:sz w:val="32"/>
          <w:szCs w:val="32"/>
        </w:rPr>
        <w:t>2024年收入预算</w:t>
      </w:r>
      <w:r>
        <w:rPr>
          <w:rFonts w:hint="eastAsia" w:ascii="TimesNewRoman" w:hAnsi="TimesNewRoman" w:eastAsia="仿宋_GB2312" w:cs="TimesNewRoman"/>
          <w:kern w:val="0"/>
          <w:sz w:val="32"/>
          <w:szCs w:val="32"/>
          <w:lang w:val="en-US" w:eastAsia="zh-CN"/>
        </w:rPr>
        <w:t>161.18</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kern w:val="0"/>
          <w:sz w:val="32"/>
          <w:szCs w:val="32"/>
          <w:lang w:val="en-US" w:eastAsia="zh-CN"/>
        </w:rPr>
        <w:t>161.18</w:t>
      </w:r>
      <w:r>
        <w:rPr>
          <w:rFonts w:hint="eastAsia" w:ascii="TimesNewRoman" w:hAnsi="TimesNewRoman" w:eastAsia="仿宋_GB2312" w:cs="TimesNewRoman"/>
          <w:kern w:val="0"/>
          <w:sz w:val="32"/>
          <w:szCs w:val="32"/>
        </w:rPr>
        <w:t>万元。</w:t>
      </w:r>
    </w:p>
    <w:p>
      <w:p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本年收入</w:t>
      </w:r>
      <w:r>
        <w:rPr>
          <w:rFonts w:hint="eastAsia" w:ascii="TimesNewRoman" w:hAnsi="TimesNewRoman" w:eastAsia="仿宋_GB2312" w:cs="TimesNewRoman"/>
          <w:b/>
          <w:kern w:val="0"/>
          <w:sz w:val="32"/>
          <w:szCs w:val="32"/>
          <w:lang w:val="en-US" w:eastAsia="zh-CN"/>
        </w:rPr>
        <w:t>161.18</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127.08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78.84</w:t>
      </w:r>
      <w:r>
        <w:rPr>
          <w:rFonts w:hint="eastAsia" w:ascii="TimesNewRoman" w:hAnsi="TimesNewRoman" w:eastAsia="仿宋_GB2312" w:cs="TimesNewRoman"/>
          <w:kern w:val="0"/>
          <w:sz w:val="32"/>
          <w:szCs w:val="32"/>
        </w:rPr>
        <w:t>%，比2023年预算增加</w:t>
      </w:r>
      <w:r>
        <w:rPr>
          <w:rFonts w:hint="eastAsia" w:ascii="TimesNewRoman" w:hAnsi="TimesNewRoman" w:eastAsia="仿宋_GB2312" w:cs="TimesNewRoman"/>
          <w:kern w:val="0"/>
          <w:sz w:val="32"/>
          <w:szCs w:val="32"/>
          <w:lang w:val="en-US" w:eastAsia="zh-CN"/>
        </w:rPr>
        <w:t>36.62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40.48</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新增两名在职人员的工资、社保公积金、福利费等各项基本预算安排</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val="en-US" w:eastAsia="zh-CN"/>
        </w:rPr>
        <w:t>34.1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59.52</w:t>
      </w:r>
      <w:r>
        <w:rPr>
          <w:rFonts w:hint="eastAsia" w:ascii="TimesNewRoman" w:hAnsi="TimesNewRoman" w:eastAsia="仿宋_GB2312" w:cs="TimesNewRoman"/>
          <w:kern w:val="0"/>
          <w:sz w:val="32"/>
          <w:szCs w:val="32"/>
        </w:rPr>
        <w:t>%，比2023年预算增加</w:t>
      </w:r>
      <w:r>
        <w:rPr>
          <w:rFonts w:hint="eastAsia" w:ascii="TimesNewRoman" w:hAnsi="TimesNewRoman" w:eastAsia="仿宋_GB2312" w:cs="TimesNewRoman"/>
          <w:kern w:val="0"/>
          <w:sz w:val="32"/>
          <w:szCs w:val="32"/>
          <w:lang w:val="en-US" w:eastAsia="zh-CN"/>
        </w:rPr>
        <w:t>12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54.3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国土资源业务量增多，为更好更高效的完成工作增加聘用人员相关预算等</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bookmarkStart w:id="0" w:name="_GoBack"/>
      <w:bookmarkEnd w:id="0"/>
      <w:r>
        <w:rPr>
          <w:rFonts w:hint="eastAsia" w:ascii="TimesNewRoman" w:hAnsi="TimesNewRoman" w:eastAsia="仿宋_GB2312" w:cs="TimesNewRoman"/>
          <w:kern w:val="0"/>
          <w:sz w:val="32"/>
          <w:szCs w:val="32"/>
          <w:lang w:eastAsia="zh-CN"/>
        </w:rPr>
        <w:t>与</w:t>
      </w:r>
      <w:r>
        <w:rPr>
          <w:rFonts w:hint="eastAsia" w:ascii="TimesNewRoman" w:hAnsi="TimesNewRoman" w:eastAsia="仿宋_GB2312" w:cs="TimesNewRoman"/>
          <w:kern w:val="0"/>
          <w:sz w:val="32"/>
          <w:szCs w:val="32"/>
          <w:lang w:val="en-US" w:eastAsia="zh-CN"/>
        </w:rPr>
        <w:t>2023年一致</w:t>
      </w:r>
      <w:r>
        <w:rPr>
          <w:rFonts w:hint="eastAsia" w:ascii="TimesNewRoman" w:hAnsi="TimesNewRoman" w:eastAsia="仿宋_GB2312" w:cs="TimesNewRoman"/>
          <w:kern w:val="0"/>
          <w:sz w:val="32"/>
          <w:szCs w:val="32"/>
        </w:rPr>
        <w:t>。</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三、关于2024年支出总表的说明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淮北市国土资源局开发区分局</w:t>
      </w:r>
      <w:r>
        <w:rPr>
          <w:rFonts w:hint="eastAsia" w:ascii="TimesNewRoman" w:hAnsi="TimesNewRoman" w:eastAsia="仿宋_GB2312" w:cs="TimesNewRoman"/>
          <w:kern w:val="0"/>
          <w:sz w:val="32"/>
          <w:szCs w:val="32"/>
        </w:rPr>
        <w:t>2024年支出预算</w:t>
      </w:r>
      <w:r>
        <w:rPr>
          <w:rFonts w:hint="eastAsia" w:ascii="TimesNewRoman" w:hAnsi="TimesNewRoman" w:eastAsia="仿宋_GB2312" w:cs="TimesNewRoman"/>
          <w:kern w:val="0"/>
          <w:sz w:val="32"/>
          <w:szCs w:val="32"/>
          <w:lang w:val="en-US" w:eastAsia="zh-CN"/>
        </w:rPr>
        <w:t>161.18</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48.62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43.19</w:t>
      </w:r>
      <w:r>
        <w:rPr>
          <w:rFonts w:hint="eastAsia" w:ascii="TimesNewRoman" w:hAnsi="TimesNewRoman" w:eastAsia="仿宋_GB2312" w:cs="TimesNewRoman"/>
          <w:kern w:val="0"/>
          <w:sz w:val="32"/>
          <w:szCs w:val="32"/>
        </w:rPr>
        <w:t>%，原因主要</w:t>
      </w:r>
      <w:r>
        <w:rPr>
          <w:rFonts w:hint="eastAsia" w:ascii="TimesNewRoman" w:hAnsi="TimesNewRoman" w:eastAsia="仿宋_GB2312" w:cs="TimesNewRoman"/>
          <w:kern w:val="0"/>
          <w:sz w:val="32"/>
          <w:szCs w:val="32"/>
          <w:lang w:eastAsia="zh-CN"/>
        </w:rPr>
        <w:t>一</w:t>
      </w:r>
      <w:r>
        <w:rPr>
          <w:rFonts w:hint="eastAsia" w:ascii="TimesNewRoman" w:hAnsi="TimesNewRoman" w:eastAsia="仿宋_GB2312" w:cs="TimesNewRoman"/>
          <w:kern w:val="0"/>
          <w:sz w:val="32"/>
          <w:szCs w:val="32"/>
        </w:rPr>
        <w:t>是</w:t>
      </w:r>
      <w:r>
        <w:rPr>
          <w:rFonts w:hint="eastAsia" w:ascii="TimesNewRoman" w:hAnsi="TimesNewRoman" w:eastAsia="仿宋_GB2312" w:cs="TimesNewRoman"/>
          <w:kern w:val="0"/>
          <w:sz w:val="32"/>
          <w:szCs w:val="32"/>
          <w:lang w:eastAsia="zh-CN"/>
        </w:rPr>
        <w:t>新增两名在职人员的工资、社保公积金、福利费等各项基本预算安排；二是国土资源业务量增多，为更好更高效的完成工作增加聘用人员相关预算等</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127.08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78.84</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34.1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21.16</w:t>
      </w:r>
      <w:r>
        <w:rPr>
          <w:rFonts w:hint="eastAsia" w:ascii="TimesNewRoman" w:hAnsi="TimesNewRoman" w:eastAsia="仿宋_GB2312" w:cs="TimesNewRoman"/>
          <w:kern w:val="0"/>
          <w:sz w:val="32"/>
          <w:szCs w:val="32"/>
        </w:rPr>
        <w:t>%，主要用于</w:t>
      </w:r>
      <w:r>
        <w:rPr>
          <w:rFonts w:hint="eastAsia" w:ascii="仿宋_GB2312" w:hAnsi="仿宋" w:eastAsia="仿宋_GB2312"/>
          <w:sz w:val="32"/>
          <w:szCs w:val="32"/>
        </w:rPr>
        <w:t>国土资源业务</w:t>
      </w:r>
      <w:r>
        <w:rPr>
          <w:rFonts w:hint="eastAsia" w:ascii="仿宋_GB2312" w:hAnsi="仿宋" w:eastAsia="仿宋_GB2312"/>
          <w:sz w:val="32"/>
          <w:szCs w:val="32"/>
          <w:lang w:eastAsia="zh-CN"/>
        </w:rPr>
        <w:t>经费、单位运行劳务经费的</w:t>
      </w:r>
      <w:r>
        <w:rPr>
          <w:rFonts w:hint="eastAsia" w:ascii="仿宋_GB2312" w:hAnsi="仿宋" w:eastAsia="仿宋_GB2312"/>
          <w:sz w:val="32"/>
          <w:szCs w:val="32"/>
        </w:rPr>
        <w:t>工作顺利开展</w:t>
      </w:r>
      <w:r>
        <w:rPr>
          <w:rFonts w:hint="eastAsia" w:ascii="TimesNewRoman" w:hAnsi="TimesNewRoman" w:eastAsia="仿宋_GB2312" w:cs="TimesNewRoman"/>
          <w:kern w:val="0"/>
          <w:sz w:val="32"/>
          <w:szCs w:val="32"/>
        </w:rPr>
        <w:t>。</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四、关于2024年财政拨款收支总表的说明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淮北市国土资源局开发区分局</w:t>
      </w:r>
      <w:r>
        <w:rPr>
          <w:rFonts w:hint="eastAsia" w:ascii="TimesNewRoman" w:hAnsi="TimesNewRoman" w:eastAsia="仿宋_GB2312" w:cs="TimesNewRoman"/>
          <w:kern w:val="0"/>
          <w:sz w:val="32"/>
          <w:szCs w:val="32"/>
        </w:rPr>
        <w:t>2024年财政拨款收支预算</w:t>
      </w:r>
      <w:r>
        <w:rPr>
          <w:rFonts w:hint="eastAsia" w:ascii="TimesNewRoman" w:hAnsi="TimesNewRoman" w:eastAsia="仿宋_GB2312" w:cs="TimesNewRoman"/>
          <w:kern w:val="0"/>
          <w:sz w:val="32"/>
          <w:szCs w:val="32"/>
          <w:lang w:val="en-US" w:eastAsia="zh-CN"/>
        </w:rPr>
        <w:t>161.18</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127.08</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34.1</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161.18</w:t>
      </w:r>
      <w:r>
        <w:rPr>
          <w:rFonts w:hint="eastAsia" w:ascii="TimesNewRoman" w:hAnsi="TimesNewRoman" w:eastAsia="仿宋_GB2312" w:cs="TimesNewRoman"/>
          <w:kern w:val="0"/>
          <w:sz w:val="32"/>
          <w:szCs w:val="32"/>
        </w:rPr>
        <w:t>万元。支出按功能分类分为：社会保障和就业支出</w:t>
      </w:r>
      <w:r>
        <w:rPr>
          <w:rFonts w:hint="eastAsia" w:ascii="TimesNewRoman" w:hAnsi="TimesNewRoman" w:eastAsia="仿宋_GB2312" w:cs="TimesNewRoman"/>
          <w:kern w:val="0"/>
          <w:sz w:val="32"/>
          <w:szCs w:val="32"/>
          <w:lang w:val="en-US" w:eastAsia="zh-CN"/>
        </w:rPr>
        <w:t>16.84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10.45</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5.66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3.51</w:t>
      </w:r>
      <w:r>
        <w:rPr>
          <w:rFonts w:hint="eastAsia" w:ascii="TimesNewRoman" w:hAnsi="TimesNewRoman" w:eastAsia="仿宋_GB2312" w:cs="TimesNewRoman"/>
          <w:kern w:val="0"/>
          <w:sz w:val="32"/>
          <w:szCs w:val="32"/>
        </w:rPr>
        <w:t>%；城乡社区支出</w:t>
      </w:r>
      <w:r>
        <w:rPr>
          <w:rFonts w:hint="eastAsia" w:ascii="TimesNewRoman" w:hAnsi="TimesNewRoman" w:eastAsia="仿宋_GB2312" w:cs="TimesNewRoman"/>
          <w:kern w:val="0"/>
          <w:sz w:val="32"/>
          <w:szCs w:val="32"/>
          <w:lang w:val="en-US" w:eastAsia="zh-CN"/>
        </w:rPr>
        <w:t>34.1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21.16</w:t>
      </w:r>
      <w:r>
        <w:rPr>
          <w:rFonts w:hint="eastAsia" w:ascii="TimesNewRoman" w:hAnsi="TimesNewRoman" w:eastAsia="仿宋_GB2312" w:cs="TimesNewRoman"/>
          <w:kern w:val="0"/>
          <w:sz w:val="32"/>
          <w:szCs w:val="32"/>
        </w:rPr>
        <w:t>%；自然资源海洋气象等支出</w:t>
      </w:r>
      <w:r>
        <w:rPr>
          <w:rFonts w:hint="eastAsia" w:ascii="TimesNewRoman" w:hAnsi="TimesNewRoman" w:eastAsia="仿宋_GB2312" w:cs="TimesNewRoman"/>
          <w:kern w:val="0"/>
          <w:sz w:val="32"/>
          <w:szCs w:val="32"/>
          <w:lang w:val="en-US" w:eastAsia="zh-CN"/>
        </w:rPr>
        <w:t>83.6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51.87</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20.98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13.01</w:t>
      </w:r>
      <w:r>
        <w:rPr>
          <w:rFonts w:hint="eastAsia" w:ascii="TimesNewRoman" w:hAnsi="TimesNewRoman" w:eastAsia="仿宋_GB2312" w:cs="TimesNewRoman"/>
          <w:kern w:val="0"/>
          <w:sz w:val="32"/>
          <w:szCs w:val="32"/>
        </w:rPr>
        <w:t>%。</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五、关于2024年一般公共预算支出表的说明</w:t>
      </w:r>
    </w:p>
    <w:p>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淮北市国土资源局开发区分局</w:t>
      </w:r>
      <w:r>
        <w:rPr>
          <w:rFonts w:hint="eastAsia" w:ascii="TimesNewRoman" w:hAnsi="TimesNewRoman" w:eastAsia="仿宋_GB2312" w:cs="TimesNewRoman"/>
          <w:kern w:val="0"/>
          <w:sz w:val="32"/>
          <w:szCs w:val="32"/>
        </w:rPr>
        <w:t>2024年一般公共预算支出</w:t>
      </w:r>
      <w:r>
        <w:rPr>
          <w:rFonts w:hint="eastAsia" w:ascii="TimesNewRoman" w:hAnsi="TimesNewRoman" w:eastAsia="仿宋_GB2312" w:cs="TimesNewRoman"/>
          <w:kern w:val="0"/>
          <w:sz w:val="32"/>
          <w:szCs w:val="32"/>
          <w:lang w:val="en-US" w:eastAsia="zh-CN"/>
        </w:rPr>
        <w:t>127.08</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36.62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40.48</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新增两名在职人员的工资、社保公积金、福利费等各项基本预算安排</w:t>
      </w:r>
      <w:r>
        <w:rPr>
          <w:rFonts w:hint="eastAsia" w:ascii="TimesNewRoman" w:hAnsi="TimesNewRoman" w:eastAsia="仿宋_GB2312" w:cs="TimesNewRoman"/>
          <w:kern w:val="0"/>
          <w:sz w:val="32"/>
          <w:szCs w:val="32"/>
        </w:rPr>
        <w:t>。</w:t>
      </w:r>
    </w:p>
    <w:p>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pPr>
        <w:pStyle w:val="5"/>
        <w:adjustRightInd w:val="0"/>
        <w:snapToGrid w:val="0"/>
        <w:spacing w:line="560" w:lineRule="exact"/>
        <w:ind w:firstLine="627" w:firstLineChars="196"/>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16.84</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13.25</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5.66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4.45</w:t>
      </w:r>
      <w:r>
        <w:rPr>
          <w:rFonts w:hint="eastAsia" w:ascii="TimesNewRoman" w:hAnsi="TimesNewRoman" w:eastAsia="仿宋_GB2312" w:cs="TimesNewRoman"/>
          <w:kern w:val="0"/>
          <w:sz w:val="32"/>
          <w:szCs w:val="32"/>
        </w:rPr>
        <w:t>%；自然资源海洋气象等支出</w:t>
      </w:r>
      <w:r>
        <w:rPr>
          <w:rFonts w:hint="eastAsia" w:ascii="TimesNewRoman" w:hAnsi="TimesNewRoman" w:eastAsia="仿宋_GB2312" w:cs="TimesNewRoman"/>
          <w:kern w:val="0"/>
          <w:sz w:val="32"/>
          <w:szCs w:val="32"/>
          <w:lang w:val="en-US" w:eastAsia="zh-CN"/>
        </w:rPr>
        <w:t>83.6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65.79</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20.98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16.51</w:t>
      </w:r>
      <w:r>
        <w:rPr>
          <w:rFonts w:hint="eastAsia" w:ascii="TimesNewRoman" w:hAnsi="TimesNewRoman" w:eastAsia="仿宋_GB2312" w:cs="TimesNewRoman"/>
          <w:kern w:val="0"/>
          <w:sz w:val="32"/>
          <w:szCs w:val="32"/>
        </w:rPr>
        <w:t>%。</w:t>
      </w:r>
    </w:p>
    <w:p>
      <w:pPr>
        <w:pStyle w:val="5"/>
        <w:adjustRightInd w:val="0"/>
        <w:snapToGrid w:val="0"/>
        <w:spacing w:line="560" w:lineRule="exact"/>
        <w:ind w:firstLine="630"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1、社会保障和就业支出（类）行政事业单位养老支出（款）机关事业单位基本养老保险缴费支出（项）2024年预算</w:t>
      </w:r>
      <w:r>
        <w:rPr>
          <w:rFonts w:hint="eastAsia" w:ascii="TimesNewRoman" w:hAnsi="TimesNewRoman" w:eastAsia="仿宋_GB2312" w:cs="TimesNewRoman"/>
          <w:kern w:val="0"/>
          <w:sz w:val="32"/>
          <w:szCs w:val="32"/>
          <w:lang w:val="en-US" w:eastAsia="zh-CN"/>
        </w:rPr>
        <w:t>11.05</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37.27</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新增两名在职人员</w:t>
      </w:r>
      <w:r>
        <w:rPr>
          <w:rFonts w:hint="eastAsia" w:ascii="TimesNewRoman" w:hAnsi="TimesNewRoman" w:eastAsia="仿宋_GB2312" w:cs="TimesNewRoman"/>
          <w:kern w:val="0"/>
          <w:sz w:val="32"/>
          <w:szCs w:val="32"/>
        </w:rPr>
        <w:t>。</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2、社会保障和就业支出（类）行政事业单位养老支出（款）机关事业单位职业年金缴费支出（项）2024年预算</w:t>
      </w:r>
      <w:r>
        <w:rPr>
          <w:rFonts w:hint="eastAsia" w:ascii="TimesNewRoman" w:hAnsi="TimesNewRoman" w:eastAsia="仿宋_GB2312" w:cs="TimesNewRoman"/>
          <w:kern w:val="0"/>
          <w:sz w:val="32"/>
          <w:szCs w:val="32"/>
          <w:lang w:val="en-US" w:eastAsia="zh-CN"/>
        </w:rPr>
        <w:t>5.53</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1.5</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37.22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新增两名在职人员</w:t>
      </w:r>
      <w:r>
        <w:rPr>
          <w:rFonts w:hint="eastAsia" w:ascii="TimesNewRoman" w:hAnsi="TimesNewRoman" w:eastAsia="仿宋_GB2312" w:cs="TimesNewRoman"/>
          <w:kern w:val="0"/>
          <w:sz w:val="32"/>
          <w:szCs w:val="32"/>
        </w:rPr>
        <w:t>。</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3.社会保障和就业支出（类）其他社会保障和就业支出（款）其他社会保障和就业支出（项）2024年预算</w:t>
      </w:r>
      <w:r>
        <w:rPr>
          <w:rFonts w:hint="eastAsia" w:ascii="TimesNewRoman" w:hAnsi="TimesNewRoman" w:eastAsia="仿宋_GB2312" w:cs="TimesNewRoman"/>
          <w:kern w:val="0"/>
          <w:sz w:val="32"/>
          <w:szCs w:val="32"/>
          <w:lang w:val="en-US" w:eastAsia="zh-CN"/>
        </w:rPr>
        <w:t>0.26</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0.06</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30</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新增两名在职人员</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卫生健康支出（类）行政事业单位医疗（款）行政单位医疗（项）2024年预算</w:t>
      </w:r>
      <w:r>
        <w:rPr>
          <w:rFonts w:hint="eastAsia" w:ascii="TimesNewRoman" w:hAnsi="TimesNewRoman" w:eastAsia="仿宋_GB2312" w:cs="TimesNewRoman"/>
          <w:kern w:val="0"/>
          <w:sz w:val="32"/>
          <w:szCs w:val="32"/>
          <w:lang w:val="en-US" w:eastAsia="zh-CN"/>
        </w:rPr>
        <w:t>4.17</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1.16</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38.54</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新增两名在职人员</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5、</w:t>
      </w:r>
      <w:r>
        <w:rPr>
          <w:rFonts w:hint="eastAsia" w:ascii="TimesNewRoman" w:hAnsi="TimesNewRoman" w:eastAsia="仿宋_GB2312" w:cs="TimesNewRoman"/>
          <w:kern w:val="0"/>
          <w:sz w:val="32"/>
          <w:szCs w:val="32"/>
        </w:rPr>
        <w:t>卫生健康支出（类）行政事业单位医疗（款）公务员医疗补助（项）2024年预算</w:t>
      </w:r>
      <w:r>
        <w:rPr>
          <w:rFonts w:hint="eastAsia" w:ascii="TimesNewRoman" w:hAnsi="TimesNewRoman" w:eastAsia="仿宋_GB2312" w:cs="TimesNewRoman"/>
          <w:kern w:val="0"/>
          <w:sz w:val="32"/>
          <w:szCs w:val="32"/>
          <w:lang w:val="en-US" w:eastAsia="zh-CN"/>
        </w:rPr>
        <w:t>1.49</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0.41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37.96</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新增两名在职人员</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6、</w:t>
      </w:r>
      <w:r>
        <w:rPr>
          <w:rFonts w:hint="eastAsia" w:ascii="TimesNewRoman" w:hAnsi="TimesNewRoman" w:eastAsia="仿宋_GB2312" w:cs="TimesNewRoman"/>
          <w:kern w:val="0"/>
          <w:sz w:val="32"/>
          <w:szCs w:val="32"/>
        </w:rPr>
        <w:t>自然资源海洋气象等支出（类）自然资源事务（款）行政运行（项）2024年预算</w:t>
      </w:r>
      <w:r>
        <w:rPr>
          <w:rFonts w:hint="eastAsia" w:ascii="TimesNewRoman" w:hAnsi="TimesNewRoman" w:eastAsia="仿宋_GB2312" w:cs="TimesNewRoman"/>
          <w:kern w:val="0"/>
          <w:sz w:val="32"/>
          <w:szCs w:val="32"/>
          <w:lang w:val="en-US" w:eastAsia="zh-CN"/>
        </w:rPr>
        <w:t>31.16</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11.51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58.58</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新增一名行政在职人员的工资、公务费综合定额等预算。</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lang w:val="en-US" w:eastAsia="zh-CN"/>
        </w:rPr>
        <w:t>7、</w:t>
      </w:r>
      <w:r>
        <w:rPr>
          <w:rFonts w:hint="eastAsia" w:ascii="TimesNewRoman" w:hAnsi="TimesNewRoman" w:eastAsia="仿宋_GB2312" w:cs="TimesNewRoman"/>
          <w:kern w:val="0"/>
          <w:sz w:val="32"/>
          <w:szCs w:val="32"/>
        </w:rPr>
        <w:t>自然资源海洋气象等支出（类）自然资源事务（款）</w:t>
      </w:r>
      <w:r>
        <w:rPr>
          <w:rFonts w:hint="eastAsia" w:ascii="TimesNewRoman" w:hAnsi="TimesNewRoman" w:eastAsia="仿宋_GB2312" w:cs="TimesNewRoman"/>
          <w:kern w:val="0"/>
          <w:sz w:val="32"/>
          <w:szCs w:val="32"/>
          <w:lang w:eastAsia="zh-CN"/>
        </w:rPr>
        <w:t>事业</w:t>
      </w:r>
      <w:r>
        <w:rPr>
          <w:rFonts w:hint="eastAsia" w:ascii="TimesNewRoman" w:hAnsi="TimesNewRoman" w:eastAsia="仿宋_GB2312" w:cs="TimesNewRoman"/>
          <w:kern w:val="0"/>
          <w:sz w:val="32"/>
          <w:szCs w:val="32"/>
        </w:rPr>
        <w:t>运行（项）2024年预算</w:t>
      </w:r>
      <w:r>
        <w:rPr>
          <w:rFonts w:hint="eastAsia" w:ascii="TimesNewRoman" w:hAnsi="TimesNewRoman" w:eastAsia="仿宋_GB2312" w:cs="TimesNewRoman"/>
          <w:kern w:val="0"/>
          <w:sz w:val="32"/>
          <w:szCs w:val="32"/>
          <w:lang w:val="en-US" w:eastAsia="zh-CN"/>
        </w:rPr>
        <w:t>52.44</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8.19</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18.51</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新增一名事业在职人员的工资、公务费综合定额等预算。</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8</w:t>
      </w:r>
      <w:r>
        <w:rPr>
          <w:rFonts w:hint="eastAsia" w:ascii="TimesNewRoman" w:hAnsi="TimesNewRoman" w:eastAsia="仿宋_GB2312" w:cs="TimesNewRoman"/>
          <w:kern w:val="0"/>
          <w:sz w:val="32"/>
          <w:szCs w:val="32"/>
        </w:rPr>
        <w:t>、住房保障支出（类）住房改革支出（款）住房公积金（项）2024年预算</w:t>
      </w:r>
      <w:r>
        <w:rPr>
          <w:rFonts w:hint="eastAsia" w:ascii="TimesNewRoman" w:hAnsi="TimesNewRoman" w:eastAsia="仿宋_GB2312" w:cs="TimesNewRoman"/>
          <w:kern w:val="0"/>
          <w:sz w:val="32"/>
          <w:szCs w:val="32"/>
          <w:lang w:val="en-US" w:eastAsia="zh-CN"/>
        </w:rPr>
        <w:t>12.59</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5.39</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74.86</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新增两名在职人员</w:t>
      </w:r>
      <w:r>
        <w:rPr>
          <w:rFonts w:hint="eastAsia" w:ascii="TimesNewRoman" w:hAnsi="TimesNewRoman" w:eastAsia="仿宋_GB2312" w:cs="TimesNewRoman"/>
          <w:kern w:val="0"/>
          <w:sz w:val="32"/>
          <w:szCs w:val="32"/>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、住房保障支出（类）住房改革支出（款）提租补贴（项）2024年预算</w:t>
      </w:r>
      <w:r>
        <w:rPr>
          <w:rFonts w:hint="eastAsia" w:ascii="TimesNewRoman" w:hAnsi="TimesNewRoman" w:eastAsia="仿宋_GB2312" w:cs="TimesNewRoman"/>
          <w:kern w:val="0"/>
          <w:sz w:val="32"/>
          <w:szCs w:val="32"/>
          <w:lang w:val="en-US" w:eastAsia="zh-CN"/>
        </w:rPr>
        <w:t>3.15</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3.15</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100</w:t>
      </w:r>
      <w:r>
        <w:rPr>
          <w:rFonts w:hint="eastAsia" w:ascii="TimesNewRoman" w:hAnsi="TimesNewRoman" w:eastAsia="仿宋_GB2312" w:cs="TimesNewRoman"/>
          <w:kern w:val="0"/>
          <w:sz w:val="32"/>
          <w:szCs w:val="32"/>
        </w:rPr>
        <w:t>%，原因主要是新增提租补贴项目。</w:t>
      </w:r>
    </w:p>
    <w:p>
      <w:pPr>
        <w:ind w:firstLine="640" w:firstLineChars="200"/>
        <w:rPr>
          <w:rFonts w:hint="default"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lang w:val="en-US" w:eastAsia="zh-CN"/>
        </w:rPr>
        <w:t>10、</w:t>
      </w:r>
      <w:r>
        <w:rPr>
          <w:rFonts w:hint="eastAsia" w:ascii="TimesNewRoman" w:hAnsi="TimesNewRoman" w:eastAsia="仿宋_GB2312" w:cs="TimesNewRoman"/>
          <w:kern w:val="0"/>
          <w:sz w:val="32"/>
          <w:szCs w:val="32"/>
        </w:rPr>
        <w:t>住房保障支出（类）住房改革支出（款）购房补贴（项）2024年预算</w:t>
      </w:r>
      <w:r>
        <w:rPr>
          <w:rFonts w:hint="eastAsia" w:ascii="TimesNewRoman" w:hAnsi="TimesNewRoman" w:eastAsia="仿宋_GB2312" w:cs="TimesNewRoman"/>
          <w:kern w:val="0"/>
          <w:sz w:val="32"/>
          <w:szCs w:val="32"/>
          <w:lang w:val="en-US" w:eastAsia="zh-CN"/>
        </w:rPr>
        <w:t>5.25</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2.25</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75</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新增两名在职人员</w:t>
      </w:r>
      <w:r>
        <w:rPr>
          <w:rFonts w:hint="eastAsia" w:ascii="TimesNewRoman" w:hAnsi="TimesNewRoman" w:eastAsia="仿宋_GB2312" w:cs="TimesNewRoman"/>
          <w:kern w:val="0"/>
          <w:sz w:val="32"/>
          <w:szCs w:val="32"/>
        </w:rPr>
        <w:t>。</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六、关于2024年一般公共预算基本支出表的说明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淮北市国土资源局开发区分局</w:t>
      </w:r>
      <w:r>
        <w:rPr>
          <w:rFonts w:hint="eastAsia" w:ascii="TimesNewRoman" w:hAnsi="TimesNewRoman" w:eastAsia="仿宋_GB2312" w:cs="TimesNewRoman"/>
          <w:kern w:val="0"/>
          <w:sz w:val="32"/>
          <w:szCs w:val="32"/>
        </w:rPr>
        <w:t>2024年一般公共预算基本支出</w:t>
      </w:r>
      <w:r>
        <w:rPr>
          <w:rFonts w:hint="eastAsia" w:ascii="TimesNewRoman" w:hAnsi="TimesNewRoman" w:eastAsia="仿宋_GB2312" w:cs="TimesNewRoman"/>
          <w:kern w:val="0"/>
          <w:sz w:val="32"/>
          <w:szCs w:val="32"/>
          <w:lang w:val="en-US" w:eastAsia="zh-CN"/>
        </w:rPr>
        <w:t>127.08</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116.01</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11.07</w:t>
      </w:r>
      <w:r>
        <w:rPr>
          <w:rFonts w:hint="eastAsia" w:ascii="TimesNewRoman" w:hAnsi="TimesNewRoman" w:eastAsia="仿宋_GB2312" w:cs="TimesNewRoman"/>
          <w:kern w:val="0"/>
          <w:sz w:val="32"/>
          <w:szCs w:val="32"/>
        </w:rPr>
        <w:t>万元。</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116.01</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w:t>
      </w:r>
      <w:r>
        <w:rPr>
          <w:rFonts w:hint="eastAsia" w:ascii="TimesNewRoman" w:hAnsi="TimesNewRoman" w:eastAsia="仿宋_GB2312" w:cs="TimesNewRoman"/>
          <w:kern w:val="0"/>
          <w:sz w:val="32"/>
          <w:szCs w:val="32"/>
          <w:lang w:eastAsia="zh-CN"/>
        </w:rPr>
        <w:t>办公费、</w:t>
      </w:r>
      <w:r>
        <w:rPr>
          <w:rFonts w:hint="eastAsia" w:ascii="TimesNewRoman" w:hAnsi="TimesNewRoman" w:eastAsia="仿宋_GB2312" w:cs="TimesNewRoman"/>
          <w:kern w:val="0"/>
          <w:sz w:val="32"/>
          <w:szCs w:val="32"/>
        </w:rPr>
        <w:t>工会经费、福利费、住房公积金、对其他个人和家庭的补助支出。</w:t>
      </w:r>
    </w:p>
    <w:p>
      <w:pPr>
        <w:ind w:firstLine="643" w:firstLineChars="200"/>
        <w:rPr>
          <w:rFonts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11.07</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主要包括：其他交通费用、其他商品服务支出。</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七、关于2024年政府性基金预算支出表的说明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淮北市国土资源局开发区分局</w:t>
      </w:r>
      <w:r>
        <w:rPr>
          <w:rFonts w:hint="eastAsia" w:ascii="TimesNewRoman" w:hAnsi="TimesNewRoman" w:eastAsia="仿宋_GB2312" w:cs="TimesNewRoman"/>
          <w:kern w:val="0"/>
          <w:sz w:val="32"/>
          <w:szCs w:val="32"/>
        </w:rPr>
        <w:t>2024年政府性基金支出</w:t>
      </w:r>
      <w:r>
        <w:rPr>
          <w:rFonts w:hint="eastAsia" w:ascii="TimesNewRoman" w:hAnsi="TimesNewRoman" w:eastAsia="仿宋_GB2312" w:cs="TimesNewRoman"/>
          <w:kern w:val="0"/>
          <w:sz w:val="32"/>
          <w:szCs w:val="32"/>
          <w:lang w:val="en-US" w:eastAsia="zh-CN"/>
        </w:rPr>
        <w:t>34.1</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12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54.3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国土资源业务量增多，为更好更高效的完成工作增加聘用人员相关预算等</w:t>
      </w:r>
      <w:r>
        <w:rPr>
          <w:rFonts w:hint="eastAsia" w:ascii="TimesNewRoman" w:hAnsi="TimesNewRoman" w:eastAsia="仿宋_GB2312" w:cs="TimesNewRoman"/>
          <w:kern w:val="0"/>
          <w:sz w:val="32"/>
          <w:szCs w:val="32"/>
        </w:rPr>
        <w:t>。具体情况如下：</w:t>
      </w:r>
    </w:p>
    <w:p>
      <w:pPr>
        <w:numPr>
          <w:ilvl w:val="0"/>
          <w:numId w:val="1"/>
        </w:num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lang w:val="en-US" w:eastAsia="zh-CN" w:bidi="ar-SA"/>
        </w:rPr>
        <w:t>城乡社区支出（类）国有土地使用权出让收入安排的支出（款）土地出让业务支出（项）</w:t>
      </w:r>
      <w:r>
        <w:rPr>
          <w:rFonts w:hint="eastAsia" w:ascii="TimesNewRoman" w:hAnsi="TimesNewRoman" w:eastAsia="仿宋_GB2312" w:cs="TimesNewRoman"/>
          <w:kern w:val="0"/>
          <w:sz w:val="32"/>
          <w:szCs w:val="32"/>
        </w:rPr>
        <w:t>2024年预算</w:t>
      </w:r>
      <w:r>
        <w:rPr>
          <w:rFonts w:hint="eastAsia" w:ascii="TimesNewRoman" w:hAnsi="TimesNewRoman" w:eastAsia="仿宋_GB2312" w:cs="TimesNewRoman"/>
          <w:kern w:val="0"/>
          <w:sz w:val="32"/>
          <w:szCs w:val="32"/>
          <w:lang w:val="en-US" w:eastAsia="zh-CN"/>
        </w:rPr>
        <w:t>34.1</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12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54.3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国土资源业务量增多，为更好更高效的完成工作增加聘用人员相关预算等</w:t>
      </w:r>
      <w:r>
        <w:rPr>
          <w:rFonts w:hint="eastAsia" w:ascii="TimesNewRoman" w:hAnsi="TimesNewRoman" w:eastAsia="仿宋_GB2312" w:cs="TimesNewRoman"/>
          <w:kern w:val="0"/>
          <w:sz w:val="32"/>
          <w:szCs w:val="32"/>
        </w:rPr>
        <w:t>。</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八、关于2024年国有资本经营预算支出表的说明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淮北市国土资源局开发区分局</w:t>
      </w:r>
      <w:r>
        <w:rPr>
          <w:rFonts w:hint="eastAsia" w:ascii="TimesNewRoman" w:hAnsi="TimesNewRoman" w:eastAsia="仿宋_GB2312" w:cs="TimesNewRoman"/>
          <w:kern w:val="0"/>
          <w:sz w:val="32"/>
          <w:szCs w:val="32"/>
        </w:rPr>
        <w:t>2024年没有国有资本经营预算拨款收入，也没有使用国有资本经营预算拨款安排的支出。</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九、关于2024年项目支出表的说明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淮北市国土资源局开发区分局</w:t>
      </w:r>
      <w:r>
        <w:rPr>
          <w:rFonts w:hint="eastAsia" w:ascii="TimesNewRoman" w:hAnsi="TimesNewRoman" w:eastAsia="仿宋_GB2312" w:cs="TimesNewRoman"/>
          <w:kern w:val="0"/>
          <w:sz w:val="32"/>
          <w:szCs w:val="32"/>
        </w:rPr>
        <w:t>2024年预算共安排项目支出</w:t>
      </w:r>
      <w:r>
        <w:rPr>
          <w:rFonts w:hint="eastAsia" w:ascii="TimesNewRoman" w:hAnsi="TimesNewRoman" w:eastAsia="仿宋_GB2312" w:cs="TimesNewRoman"/>
          <w:kern w:val="0"/>
          <w:sz w:val="32"/>
          <w:szCs w:val="32"/>
          <w:lang w:val="en-US" w:eastAsia="zh-CN"/>
        </w:rPr>
        <w:t>34.1</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12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54.3</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国土资源业务量增多，为更好更高效的完成工作增加聘用人员相关预算等</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34.1</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34.1</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十、关于2024年政府采购支出表的说明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淮北市国土资源局开发区分局</w:t>
      </w:r>
      <w:r>
        <w:rPr>
          <w:rFonts w:hint="eastAsia" w:ascii="TimesNewRoman" w:hAnsi="TimesNewRoman" w:eastAsia="仿宋_GB2312" w:cs="TimesNewRoman"/>
          <w:kern w:val="0"/>
          <w:sz w:val="32"/>
          <w:szCs w:val="32"/>
        </w:rPr>
        <w:t>2024年没有使用一般公共预算拨款、政府性基金预算拨款、国有资本经营预算拨款、财政专户管理资金和单位资金安排的政府采购支出。</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十一、关于2024年政府购买服务支出表的说明</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淮北市国土资源局开发区分局</w:t>
      </w:r>
      <w:r>
        <w:rPr>
          <w:rFonts w:hint="eastAsia" w:ascii="TimesNewRoman" w:hAnsi="TimesNewRoman" w:eastAsia="仿宋_GB2312" w:cs="TimesNewRoman"/>
          <w:kern w:val="0"/>
          <w:sz w:val="32"/>
          <w:szCs w:val="32"/>
        </w:rPr>
        <w:t>2024年没有安排政府购买服务支出。</w:t>
      </w:r>
    </w:p>
    <w:p>
      <w:pPr>
        <w:pStyle w:val="5"/>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1、“国土资源业务费”项目。</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一、土地基础业务费：土地利用现状调查，地籍调查，土地详查。二、封闭运行业务费：开发区土地报批费用，土地使用权出让、转让划拨费用，土地使用权抵押登记、协助法院查封土地。三、土地节约集约评价更新费：是国家对开发区用地审核管理的指令性工作。为省级开发区扩区升级的审核依据和必要条件。由开发区国土分局配合省国土资源厅土地勘测规划院组织实施，大量的内业整理，外业测量工作经费。四、开发区扩区业务费：开发区实施扩区工作，新区项目供地费用，外业调查、勘测费用，内业资料编制、项目报告等。</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一、土地基础业务费：根据安徽省自然资源厅皖自然资用函（2020）7号《关于淮北市开发区有关审核意见的批复》、《淮北市政府创建国家级高新区会议纪要》（2020年第10期）、安徽省自然资源厅皖自然资函（2020）34号《关于推进规划用地“多审合一”、"多证合一"工作的通知》、淮自然资规（2019）38号《关于支持民营经济高质量发展的意见》。二、封闭运行业务费：根据淮自然资规（2021）6号《关于委托行使自然资源和规划管理有关行政权力事项的通知》精神，市局授权给开发区分局8项行政审批权力，并将原规划分局划给国土分局合</w:t>
      </w:r>
      <w:r>
        <w:rPr>
          <w:rFonts w:hint="eastAsia" w:ascii="TimesNewRoman" w:hAnsi="TimesNewRoman" w:eastAsia="仿宋_GB2312" w:cs="TimesNewRoman"/>
          <w:kern w:val="0"/>
          <w:sz w:val="32"/>
          <w:szCs w:val="32"/>
          <w:lang w:eastAsia="zh-CN"/>
        </w:rPr>
        <w:t>署</w:t>
      </w:r>
      <w:r>
        <w:rPr>
          <w:rFonts w:hint="eastAsia" w:ascii="TimesNewRoman" w:hAnsi="TimesNewRoman" w:eastAsia="仿宋_GB2312" w:cs="TimesNewRoman"/>
          <w:kern w:val="0"/>
          <w:sz w:val="32"/>
          <w:szCs w:val="32"/>
        </w:rPr>
        <w:t>办公，增加了行政职能和工作人员，分局设立封闭运行办公室、征地管理科、土地利用科、规划管理科等四个内设机构和执法监察大队、国土资源信息中心、专网机房、档案室等，为封闭运行工作服务。三、土地节约集约评价更新经费：根据自然资源部自然资办函【2020】1007号和皖自然资用函【2020】95号《关于开展建设用地节约集约利用状况评价有关工作的通知》。四、开发区扩区业务费：根据安徽省自然资源厅皖自然资用函（2020）7号《关于淮北市开发区有关审核意见的批复》、淮北市人民政府《创建国家级高新区会议纪要》（2020年第10期）。五、土地资本运营业务费：省7部委皖自然资规（2019）3号《关于印发完善建设用地使用权转让、出租、抵押二级市场实施意见的通知》、《关于进一步优化工业用地出让工作流程的汇报》（淮北市自然资源和规划局2020年第15次局务会）。</w:t>
      </w:r>
    </w:p>
    <w:p>
      <w:pPr>
        <w:ind w:firstLine="640" w:firstLineChars="200"/>
        <w:rPr>
          <w:rFonts w:hint="eastAsia" w:ascii="TimesNewRoman" w:hAnsi="TimesNewRoman" w:eastAsia="仿宋_GB2312" w:cs="TimesNewRoman"/>
          <w:bCs/>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bCs/>
          <w:sz w:val="32"/>
          <w:szCs w:val="32"/>
        </w:rPr>
        <w:t>淮北市国土资源局开发区分局</w:t>
      </w:r>
      <w:r>
        <w:rPr>
          <w:rFonts w:hint="eastAsia" w:ascii="TimesNewRoman" w:hAnsi="TimesNewRoman" w:eastAsia="仿宋_GB2312" w:cs="TimesNewRoman"/>
          <w:bCs/>
          <w:sz w:val="32"/>
          <w:szCs w:val="32"/>
          <w:lang w:eastAsia="zh-CN"/>
        </w:rPr>
        <w:t>。</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4.0</w:t>
      </w:r>
      <w:r>
        <w:rPr>
          <w:rFonts w:hint="eastAsia" w:ascii="TimesNewRoman" w:hAnsi="TimesNewRoman" w:eastAsia="仿宋_GB2312" w:cs="TimesNewRoman"/>
          <w:kern w:val="0"/>
          <w:sz w:val="32"/>
          <w:szCs w:val="32"/>
        </w:rPr>
        <w:t>1-202</w:t>
      </w:r>
      <w:r>
        <w:rPr>
          <w:rFonts w:hint="eastAsia" w:ascii="TimesNewRoman" w:hAnsi="TimesNewRoman" w:eastAsia="仿宋_GB2312" w:cs="TimesNewRoman"/>
          <w:kern w:val="0"/>
          <w:sz w:val="32"/>
          <w:szCs w:val="32"/>
          <w:lang w:val="en-US" w:eastAsia="zh-CN"/>
        </w:rPr>
        <w:t>4.</w:t>
      </w:r>
      <w:r>
        <w:rPr>
          <w:rFonts w:hint="eastAsia" w:ascii="TimesNewRoman" w:hAnsi="TimesNewRoman" w:eastAsia="仿宋_GB2312" w:cs="TimesNewRoman"/>
          <w:kern w:val="0"/>
          <w:sz w:val="32"/>
          <w:szCs w:val="32"/>
        </w:rPr>
        <w:t>12</w:t>
      </w:r>
      <w:r>
        <w:rPr>
          <w:rFonts w:hint="eastAsia" w:ascii="TimesNewRoman" w:hAnsi="TimesNewRoman" w:eastAsia="仿宋_GB2312" w:cs="TimesNewRoman"/>
          <w:kern w:val="0"/>
          <w:sz w:val="32"/>
          <w:szCs w:val="32"/>
          <w:lang w:eastAsia="zh-CN"/>
        </w:rPr>
        <w:t>。</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一、土地基础业务费：土地利用现状调查，地籍调查，土地详查。二、封闭运行业务费：开发区土地报批费用，土地使用权出让、转让划拨费用，土地使用权抵押登记、协助法院查封土地。三、土地节约集约评价更新费：是国家对开发区用地审核管理的指令性工作。为省级开发区扩区升级的审核依据和必要条件。由开发区国土分局配合省国土资源厅土地勘测规划院组织实施，大量的内业整理，外业测量工作经费。四、开发区扩区业务费：开发区实施扩区工作，新区项目供地费用，外业调查、勘测费用，内业资料编制、项目报告等。</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31万元。</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p>
      <w:pPr>
        <w:ind w:firstLine="640" w:firstLineChars="200"/>
        <w:rPr>
          <w:rFonts w:hint="eastAsia" w:ascii="TimesNewRoman" w:hAnsi="TimesNewRoman" w:eastAsia="仿宋_GB2312" w:cs="TimesNewRoman"/>
          <w:kern w:val="0"/>
          <w:sz w:val="32"/>
          <w:szCs w:val="32"/>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pPr>
              <w:jc w:val="center"/>
              <w:rPr>
                <w:rFonts w:ascii="宋体" w:cs="宋体"/>
                <w:sz w:val="20"/>
              </w:rPr>
            </w:pPr>
            <w:r>
              <w:rPr>
                <w:rFonts w:hint="eastAsia"/>
                <w:color w:val="000000"/>
                <w:sz w:val="20"/>
                <w:szCs w:val="20"/>
              </w:rPr>
              <w:t>国土资源业务费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pPr>
              <w:jc w:val="center"/>
              <w:rPr>
                <w:rFonts w:ascii="宋体" w:cs="宋体"/>
                <w:sz w:val="20"/>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pPr>
              <w:jc w:val="center"/>
            </w:pPr>
            <w:r>
              <w:rPr>
                <w:rFonts w:hint="eastAsia"/>
                <w:color w:val="000000"/>
                <w:sz w:val="20"/>
                <w:szCs w:val="20"/>
              </w:rPr>
              <w:t>淮北市国土资源局开发区分局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pPr>
              <w:jc w:val="center"/>
              <w:rPr>
                <w:rFonts w:ascii="宋体" w:cs="宋体"/>
                <w:sz w:val="20"/>
              </w:rPr>
            </w:pPr>
            <w:r>
              <w:rPr>
                <w:rFonts w:hint="eastAsia" w:ascii="宋体" w:cs="宋体"/>
                <w:sz w:val="20"/>
              </w:rPr>
              <w:t>1-本级申报项目</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pPr>
              <w:jc w:val="center"/>
            </w:pPr>
            <w:r>
              <w:rPr>
                <w:rFonts w:hint="eastAsia"/>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pPr>
              <w:jc w:val="right"/>
              <w:rPr>
                <w:rFonts w:ascii="宋体" w:cs="宋体"/>
                <w:sz w:val="20"/>
              </w:rPr>
            </w:pPr>
            <w:r>
              <w:rPr>
                <w:rFonts w:hint="eastAsia" w:ascii="宋体" w:cs="宋体"/>
                <w:sz w:val="20"/>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pPr>
              <w:jc w:val="left"/>
              <w:rPr>
                <w:rFonts w:ascii="宋体" w:cs="宋体"/>
                <w:sz w:val="20"/>
              </w:rPr>
            </w:pPr>
            <w:r>
              <w:rPr>
                <w:rFonts w:hint="eastAsia"/>
                <w:sz w:val="20"/>
                <w:szCs w:val="20"/>
              </w:rPr>
              <w:t>目标1：做好人员培训、加强网络维护，对辖区内的土地进行前期的地籍调查、测量绘制，对成熟的地块进行规划设计、土地评估，公告等一系列工作</w:t>
            </w:r>
            <w:r>
              <w:rPr>
                <w:rFonts w:hint="eastAsia"/>
                <w:sz w:val="20"/>
                <w:szCs w:val="20"/>
              </w:rPr>
              <w:br w:type="textWrapping"/>
            </w:r>
            <w:r>
              <w:rPr>
                <w:rFonts w:hint="eastAsia"/>
                <w:sz w:val="20"/>
                <w:szCs w:val="20"/>
              </w:rPr>
              <w:t xml:space="preserve"> 目标2：对全区土地资源管理重大问题，实行集体研究、民主决策，提高了决策的科学性、民主性。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经费支出</w:t>
            </w:r>
          </w:p>
        </w:tc>
        <w:tc>
          <w:tcPr>
            <w:tcW w:w="4228" w:type="dxa"/>
            <w:gridSpan w:val="2"/>
            <w:tcBorders>
              <w:tl2br w:val="nil"/>
              <w:tr2bl w:val="nil"/>
            </w:tcBorders>
            <w:vAlign w:val="center"/>
          </w:tcPr>
          <w:p>
            <w:pPr>
              <w:jc w:val="center"/>
              <w:rPr>
                <w:rFonts w:ascii="宋体" w:cs="宋体"/>
                <w:sz w:val="20"/>
              </w:rPr>
            </w:pPr>
            <w:r>
              <w:rPr>
                <w:rFonts w:hint="eastAsia"/>
                <w:sz w:val="20"/>
                <w:szCs w:val="20"/>
              </w:rPr>
              <w:t>≤</w:t>
            </w:r>
            <w:r>
              <w:rPr>
                <w:rFonts w:hint="eastAsia"/>
                <w:sz w:val="20"/>
                <w:szCs w:val="20"/>
                <w:lang w:val="en-US" w:eastAsia="zh-CN"/>
              </w:rPr>
              <w:t>31</w:t>
            </w:r>
            <w:r>
              <w:rPr>
                <w:rFonts w:hint="eastAsia"/>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经费支出合规性</w:t>
            </w:r>
          </w:p>
        </w:tc>
        <w:tc>
          <w:tcPr>
            <w:tcW w:w="4228" w:type="dxa"/>
            <w:gridSpan w:val="2"/>
            <w:tcBorders>
              <w:tl2br w:val="nil"/>
              <w:tr2bl w:val="nil"/>
            </w:tcBorders>
            <w:vAlign w:val="center"/>
          </w:tcPr>
          <w:p>
            <w:pPr>
              <w:jc w:val="center"/>
              <w:rPr>
                <w:rFonts w:ascii="宋体" w:cs="宋体"/>
                <w:sz w:val="20"/>
              </w:rPr>
            </w:pPr>
            <w:r>
              <w:rPr>
                <w:sz w:val="20"/>
                <w:szCs w:val="20"/>
              </w:rPr>
              <w:t>严格按照经费支出规定支付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项目完成及时性</w:t>
            </w:r>
          </w:p>
        </w:tc>
        <w:tc>
          <w:tcPr>
            <w:tcW w:w="4228" w:type="dxa"/>
            <w:gridSpan w:val="2"/>
            <w:tcBorders>
              <w:tl2br w:val="nil"/>
              <w:tr2bl w:val="nil"/>
            </w:tcBorders>
            <w:vAlign w:val="center"/>
          </w:tcPr>
          <w:p>
            <w:pPr>
              <w:jc w:val="center"/>
              <w:rPr>
                <w:rFonts w:ascii="宋体" w:cs="宋体"/>
                <w:sz w:val="20"/>
              </w:rPr>
            </w:pPr>
            <w:r>
              <w:rPr>
                <w:sz w:val="20"/>
                <w:szCs w:val="20"/>
              </w:rPr>
              <w:t>序时完成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项目总成本</w:t>
            </w:r>
          </w:p>
        </w:tc>
        <w:tc>
          <w:tcPr>
            <w:tcW w:w="4228" w:type="dxa"/>
            <w:gridSpan w:val="2"/>
            <w:tcBorders>
              <w:tl2br w:val="nil"/>
              <w:tr2bl w:val="nil"/>
            </w:tcBorders>
            <w:vAlign w:val="center"/>
          </w:tcPr>
          <w:p>
            <w:pPr>
              <w:jc w:val="center"/>
              <w:rPr>
                <w:rFonts w:ascii="宋体" w:cs="宋体"/>
                <w:sz w:val="20"/>
              </w:rPr>
            </w:pPr>
            <w:r>
              <w:rPr>
                <w:rFonts w:hint="eastAsia"/>
                <w:sz w:val="20"/>
                <w:szCs w:val="20"/>
              </w:rPr>
              <w:t>≤</w:t>
            </w:r>
            <w:r>
              <w:rPr>
                <w:rFonts w:hint="eastAsia"/>
                <w:sz w:val="20"/>
                <w:szCs w:val="20"/>
                <w:lang w:val="en-US" w:eastAsia="zh-CN"/>
              </w:rPr>
              <w:t>31</w:t>
            </w:r>
            <w:r>
              <w:rPr>
                <w:rFonts w:hint="eastAsia"/>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节约经济成本</w:t>
            </w:r>
          </w:p>
        </w:tc>
        <w:tc>
          <w:tcPr>
            <w:tcW w:w="4228" w:type="dxa"/>
            <w:gridSpan w:val="2"/>
            <w:tcBorders>
              <w:tl2br w:val="nil"/>
              <w:tr2bl w:val="nil"/>
            </w:tcBorders>
            <w:vAlign w:val="center"/>
          </w:tcPr>
          <w:p>
            <w:pPr>
              <w:jc w:val="center"/>
              <w:rPr>
                <w:rFonts w:ascii="宋体" w:cs="宋体"/>
                <w:sz w:val="20"/>
              </w:rPr>
            </w:pPr>
            <w:r>
              <w:rPr>
                <w:sz w:val="20"/>
                <w:szCs w:val="20"/>
              </w:rPr>
              <w:t>通过做好人员培训、加强网络维护，有效节约对辖区内的土地进行前期的地籍调查、测量绘制，土地评估，公告等一系列工作的成本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pPr>
              <w:jc w:val="center"/>
              <w:rPr>
                <w:rFonts w:ascii="宋体" w:cs="宋体"/>
                <w:sz w:val="20"/>
              </w:rPr>
            </w:pPr>
            <w:r>
              <w:rPr>
                <w:rFonts w:hint="eastAsia"/>
                <w:sz w:val="20"/>
                <w:szCs w:val="20"/>
              </w:rPr>
              <w:t>指标1：</w:t>
            </w:r>
            <w:r>
              <w:rPr>
                <w:rFonts w:hint="default"/>
                <w:sz w:val="20"/>
                <w:szCs w:val="20"/>
              </w:rPr>
              <w:t>对全区土地资源管理重大问题，实行集体研究、民主决策，提高了决策的科学性、民主性。</w:t>
            </w:r>
          </w:p>
        </w:tc>
        <w:tc>
          <w:tcPr>
            <w:tcW w:w="4228" w:type="dxa"/>
            <w:gridSpan w:val="2"/>
            <w:tcBorders>
              <w:tl2br w:val="nil"/>
              <w:tr2bl w:val="nil"/>
            </w:tcBorders>
            <w:vAlign w:val="center"/>
          </w:tcPr>
          <w:p>
            <w:pPr>
              <w:jc w:val="center"/>
              <w:rPr>
                <w:rFonts w:ascii="宋体" w:cs="宋体"/>
                <w:sz w:val="20"/>
              </w:rPr>
            </w:pPr>
            <w:r>
              <w:rPr>
                <w:sz w:val="20"/>
                <w:szCs w:val="20"/>
              </w:rPr>
              <w:t>全区土地资源管理重大问题，实行集体研究、民主决策，提高了决策的科学性、民主性。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w:t>
            </w:r>
            <w:r>
              <w:rPr>
                <w:rFonts w:hint="eastAsia"/>
                <w:sz w:val="20"/>
                <w:szCs w:val="20"/>
              </w:rPr>
              <w:t>标1：</w:t>
            </w:r>
            <w:r>
              <w:rPr>
                <w:rFonts w:hint="default"/>
                <w:sz w:val="20"/>
                <w:szCs w:val="20"/>
              </w:rPr>
              <w:t>项目实施对产业环境产生的影响</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lang w:eastAsia="zh-CN"/>
              </w:rPr>
              <w:t>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w:t>
            </w:r>
            <w:r>
              <w:rPr>
                <w:rFonts w:hint="default"/>
                <w:sz w:val="20"/>
                <w:szCs w:val="20"/>
              </w:rPr>
              <w:t>对全区土地资源管理重大问题，实行集体研究、民主决策</w:t>
            </w:r>
          </w:p>
        </w:tc>
        <w:tc>
          <w:tcPr>
            <w:tcW w:w="4228" w:type="dxa"/>
            <w:gridSpan w:val="2"/>
            <w:tcBorders>
              <w:tl2br w:val="nil"/>
              <w:tr2bl w:val="nil"/>
            </w:tcBorders>
            <w:vAlign w:val="center"/>
          </w:tcPr>
          <w:p>
            <w:pPr>
              <w:jc w:val="center"/>
              <w:rPr>
                <w:rFonts w:ascii="宋体" w:cs="宋体"/>
                <w:sz w:val="20"/>
              </w:rPr>
            </w:pPr>
            <w:r>
              <w:rPr>
                <w:sz w:val="20"/>
                <w:szCs w:val="20"/>
              </w:rPr>
              <w:t>提高了决策的科学性、民主性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w:t>
            </w:r>
            <w:r>
              <w:rPr>
                <w:sz w:val="20"/>
                <w:szCs w:val="20"/>
              </w:rPr>
              <w:t>受益对象满意度</w:t>
            </w:r>
          </w:p>
        </w:tc>
        <w:tc>
          <w:tcPr>
            <w:tcW w:w="4228" w:type="dxa"/>
            <w:gridSpan w:val="2"/>
            <w:tcBorders>
              <w:tl2br w:val="nil"/>
              <w:tr2bl w:val="nil"/>
            </w:tcBorders>
            <w:vAlign w:val="center"/>
          </w:tcPr>
          <w:p>
            <w:pPr>
              <w:jc w:val="center"/>
              <w:rPr>
                <w:rFonts w:ascii="宋体" w:cs="宋体"/>
                <w:sz w:val="20"/>
              </w:rPr>
            </w:pPr>
            <w:r>
              <w:rPr>
                <w:sz w:val="20"/>
                <w:szCs w:val="20"/>
              </w:rPr>
              <w:t>≥</w:t>
            </w:r>
            <w:r>
              <w:rPr>
                <w:rFonts w:hint="eastAsia"/>
                <w:sz w:val="20"/>
                <w:szCs w:val="20"/>
              </w:rPr>
              <w:t>95%</w:t>
            </w:r>
          </w:p>
        </w:tc>
      </w:tr>
    </w:tbl>
    <w:p>
      <w:pPr>
        <w:ind w:firstLine="420" w:firstLineChars="200"/>
      </w:pPr>
    </w:p>
    <w:p>
      <w:pPr>
        <w:ind w:firstLine="420" w:firstLineChars="200"/>
      </w:pP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2、“单位运行劳务经费”项目。</w:t>
      </w:r>
    </w:p>
    <w:p>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。人事代理一名，全年工资、社会保障缴费（养老、医疗、失业、生育、工伤）、住房公积金、独生子女费、公务费定额全年人员支出。</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人事代理合同。</w:t>
      </w:r>
    </w:p>
    <w:p>
      <w:pPr>
        <w:ind w:firstLine="640" w:firstLineChars="200"/>
        <w:rPr>
          <w:rFonts w:hint="eastAsia" w:ascii="TimesNewRoman" w:hAnsi="TimesNewRoman" w:eastAsia="仿宋_GB2312" w:cs="TimesNewRoman"/>
          <w:bCs/>
          <w:sz w:val="32"/>
          <w:szCs w:val="32"/>
          <w:lang w:eastAsia="zh-CN"/>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bCs/>
          <w:sz w:val="32"/>
          <w:szCs w:val="32"/>
        </w:rPr>
        <w:t>淮北市国土资源局开发区分局</w:t>
      </w:r>
      <w:r>
        <w:rPr>
          <w:rFonts w:hint="eastAsia" w:ascii="TimesNewRoman" w:hAnsi="TimesNewRoman" w:eastAsia="仿宋_GB2312" w:cs="TimesNewRoman"/>
          <w:bCs/>
          <w:sz w:val="32"/>
          <w:szCs w:val="32"/>
          <w:lang w:eastAsia="zh-CN"/>
        </w:rPr>
        <w:t>。</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2024.01-2024.12。</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。人事代理一名，全年工资、社会保障缴费（养老、医疗、失业、生育、工伤）、住房公积金、独生子女费、公务费定额全年人员支出。</w:t>
      </w:r>
    </w:p>
    <w:p>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lang w:val="en-US" w:eastAsia="zh-CN"/>
        </w:rPr>
        <w:t>3.1万元。</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（7）绩效目标。</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vAlign w:val="center"/>
          </w:tcPr>
          <w:p>
            <w:pPr>
              <w:jc w:val="center"/>
              <w:rPr>
                <w:rFonts w:ascii="宋体" w:cs="宋体"/>
                <w:sz w:val="20"/>
              </w:rPr>
            </w:pPr>
            <w:r>
              <w:rPr>
                <w:rFonts w:hint="eastAsia"/>
                <w:color w:val="000000"/>
                <w:sz w:val="20"/>
                <w:szCs w:val="20"/>
              </w:rPr>
              <w:t>单位劳务保障支出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vAlign w:val="center"/>
          </w:tcPr>
          <w:p>
            <w:pPr>
              <w:jc w:val="center"/>
              <w:rPr>
                <w:rFonts w:ascii="宋体" w:cs="宋体"/>
                <w:sz w:val="20"/>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vAlign w:val="center"/>
          </w:tcPr>
          <w:p>
            <w:pPr>
              <w:jc w:val="center"/>
            </w:pPr>
            <w:r>
              <w:rPr>
                <w:rFonts w:hint="eastAsia"/>
                <w:color w:val="000000"/>
                <w:sz w:val="20"/>
                <w:szCs w:val="20"/>
              </w:rPr>
              <w:t>淮北市国土资源局开发区分局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vAlign w:val="center"/>
          </w:tcPr>
          <w:p>
            <w:pPr>
              <w:jc w:val="center"/>
              <w:rPr>
                <w:rFonts w:ascii="宋体" w:cs="宋体"/>
                <w:sz w:val="20"/>
              </w:rPr>
            </w:pPr>
            <w:r>
              <w:rPr>
                <w:rFonts w:hint="eastAsia" w:ascii="宋体" w:cs="宋体"/>
                <w:sz w:val="20"/>
              </w:rPr>
              <w:t>1-本级申报项目</w:t>
            </w:r>
          </w:p>
        </w:tc>
        <w:tc>
          <w:tcPr>
            <w:tcW w:w="1848" w:type="dxa"/>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vAlign w:val="center"/>
          </w:tcPr>
          <w:p>
            <w:pPr>
              <w:jc w:val="center"/>
            </w:pPr>
            <w:r>
              <w:rPr>
                <w:rFonts w:hint="eastAsia"/>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r>
              <w:rPr>
                <w:rFonts w:hint="eastAsia" w:ascii="宋体" w:cs="宋体"/>
                <w:sz w:val="20"/>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vAlign w:val="center"/>
          </w:tcPr>
          <w:p>
            <w:pPr>
              <w:jc w:val="right"/>
              <w:rPr>
                <w:rFonts w:hint="default" w:ascii="宋体" w:cs="宋体" w:eastAsiaTheme="minorEastAsia"/>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vAlign w:val="center"/>
          </w:tcPr>
          <w:p>
            <w:pPr>
              <w:jc w:val="center"/>
              <w:rPr>
                <w:rFonts w:ascii="宋体" w:cs="宋体"/>
                <w:sz w:val="20"/>
              </w:rPr>
            </w:pPr>
          </w:p>
        </w:tc>
        <w:tc>
          <w:tcPr>
            <w:tcW w:w="3349" w:type="dxa"/>
            <w:gridSpan w:val="2"/>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vAlign w:val="center"/>
          </w:tcPr>
          <w:p>
            <w:pPr>
              <w:jc w:val="right"/>
              <w:rPr>
                <w:rFonts w:ascii="宋体" w:cs="宋体"/>
                <w:sz w:val="20"/>
              </w:rPr>
            </w:pPr>
            <w:r>
              <w:rPr>
                <w:rFonts w:hint="eastAsia" w:ascii="宋体" w:cs="宋体"/>
                <w:sz w:val="20"/>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vAlign w:val="center"/>
          </w:tcPr>
          <w:p>
            <w:pPr>
              <w:jc w:val="left"/>
              <w:rPr>
                <w:rFonts w:ascii="宋体" w:cs="宋体"/>
                <w:sz w:val="20"/>
              </w:rPr>
            </w:pPr>
            <w:r>
              <w:rPr>
                <w:rFonts w:hint="eastAsia"/>
                <w:sz w:val="20"/>
                <w:szCs w:val="20"/>
                <w:lang w:eastAsia="zh-CN"/>
              </w:rPr>
              <w:t>能够保障工作，提高办事效率和质量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产出指标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数量指标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rFonts w:hint="eastAsia" w:ascii="宋体" w:hAnsi="宋体" w:cs="宋体"/>
                <w:color w:val="000000"/>
                <w:kern w:val="0"/>
                <w:sz w:val="20"/>
                <w:szCs w:val="20"/>
                <w:lang w:eastAsia="zh-CN"/>
              </w:rPr>
              <w:t>劳务费</w:t>
            </w:r>
          </w:p>
        </w:tc>
        <w:tc>
          <w:tcPr>
            <w:tcW w:w="4228" w:type="dxa"/>
            <w:gridSpan w:val="2"/>
            <w:tcBorders>
              <w:tl2br w:val="nil"/>
              <w:tr2bl w:val="nil"/>
            </w:tcBorders>
            <w:vAlign w:val="center"/>
          </w:tcPr>
          <w:p>
            <w:pPr>
              <w:jc w:val="center"/>
              <w:rPr>
                <w:rFonts w:ascii="宋体" w:cs="宋体"/>
                <w:sz w:val="20"/>
              </w:rPr>
            </w:pPr>
            <w:r>
              <w:rPr>
                <w:rFonts w:hint="eastAsia"/>
                <w:sz w:val="20"/>
                <w:szCs w:val="20"/>
              </w:rPr>
              <w:t>≤</w:t>
            </w:r>
            <w:r>
              <w:rPr>
                <w:rFonts w:hint="eastAsia"/>
                <w:sz w:val="20"/>
                <w:szCs w:val="20"/>
                <w:lang w:val="en-US" w:eastAsia="zh-CN"/>
              </w:rPr>
              <w:t>3.1</w:t>
            </w:r>
            <w:r>
              <w:rPr>
                <w:rFonts w:hint="eastAsia"/>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经费支出合规性</w:t>
            </w:r>
          </w:p>
        </w:tc>
        <w:tc>
          <w:tcPr>
            <w:tcW w:w="4228" w:type="dxa"/>
            <w:gridSpan w:val="2"/>
            <w:tcBorders>
              <w:tl2br w:val="nil"/>
              <w:tr2bl w:val="nil"/>
            </w:tcBorders>
            <w:vAlign w:val="center"/>
          </w:tcPr>
          <w:p>
            <w:pPr>
              <w:jc w:val="center"/>
              <w:rPr>
                <w:rFonts w:ascii="宋体" w:cs="宋体"/>
                <w:sz w:val="20"/>
              </w:rPr>
            </w:pPr>
            <w:r>
              <w:rPr>
                <w:sz w:val="20"/>
                <w:szCs w:val="20"/>
              </w:rPr>
              <w:t>严格按照经费支出规定支付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项目完成及时性</w:t>
            </w:r>
          </w:p>
        </w:tc>
        <w:tc>
          <w:tcPr>
            <w:tcW w:w="4228" w:type="dxa"/>
            <w:gridSpan w:val="2"/>
            <w:tcBorders>
              <w:tl2br w:val="nil"/>
              <w:tr2bl w:val="nil"/>
            </w:tcBorders>
            <w:vAlign w:val="center"/>
          </w:tcPr>
          <w:p>
            <w:pPr>
              <w:jc w:val="center"/>
              <w:rPr>
                <w:rFonts w:ascii="宋体" w:cs="宋体"/>
                <w:sz w:val="20"/>
              </w:rPr>
            </w:pPr>
            <w:r>
              <w:rPr>
                <w:sz w:val="20"/>
                <w:szCs w:val="20"/>
              </w:rPr>
              <w:t>序时完成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项目总成本</w:t>
            </w:r>
          </w:p>
        </w:tc>
        <w:tc>
          <w:tcPr>
            <w:tcW w:w="4228" w:type="dxa"/>
            <w:gridSpan w:val="2"/>
            <w:tcBorders>
              <w:tl2br w:val="nil"/>
              <w:tr2bl w:val="nil"/>
            </w:tcBorders>
            <w:vAlign w:val="center"/>
          </w:tcPr>
          <w:p>
            <w:pPr>
              <w:jc w:val="center"/>
              <w:rPr>
                <w:rFonts w:ascii="宋体" w:cs="宋体"/>
                <w:sz w:val="20"/>
              </w:rPr>
            </w:pPr>
            <w:r>
              <w:rPr>
                <w:rFonts w:hint="eastAsia"/>
                <w:sz w:val="20"/>
                <w:szCs w:val="20"/>
              </w:rPr>
              <w:t>≤</w:t>
            </w:r>
            <w:r>
              <w:rPr>
                <w:rFonts w:hint="eastAsia"/>
                <w:sz w:val="20"/>
                <w:szCs w:val="20"/>
                <w:lang w:val="en-US" w:eastAsia="zh-CN"/>
              </w:rPr>
              <w:t>3.1</w:t>
            </w:r>
            <w:r>
              <w:rPr>
                <w:rFonts w:hint="eastAsia"/>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restart"/>
            <w:tcBorders>
              <w:tl2br w:val="nil"/>
              <w:tr2bl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节约经济成本</w:t>
            </w:r>
          </w:p>
        </w:tc>
        <w:tc>
          <w:tcPr>
            <w:tcW w:w="4228" w:type="dxa"/>
            <w:gridSpan w:val="2"/>
            <w:tcBorders>
              <w:tl2br w:val="nil"/>
              <w:tr2bl w:val="nil"/>
            </w:tcBorders>
            <w:vAlign w:val="center"/>
          </w:tcPr>
          <w:p>
            <w:pPr>
              <w:jc w:val="center"/>
              <w:rPr>
                <w:rFonts w:ascii="宋体" w:cs="宋体"/>
                <w:sz w:val="20"/>
              </w:rPr>
            </w:pPr>
            <w:r>
              <w:rPr>
                <w:sz w:val="20"/>
                <w:szCs w:val="20"/>
              </w:rPr>
              <w:t>提高办事效率、节约经济成本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vAlign w:val="center"/>
          </w:tcPr>
          <w:p>
            <w:pPr>
              <w:jc w:val="left"/>
              <w:rPr>
                <w:rFonts w:ascii="宋体" w:cs="宋体"/>
                <w:sz w:val="20"/>
              </w:rPr>
            </w:pPr>
            <w:r>
              <w:rPr>
                <w:rFonts w:hint="eastAsia"/>
                <w:sz w:val="20"/>
                <w:szCs w:val="20"/>
              </w:rPr>
              <w:t>指标1：</w:t>
            </w:r>
            <w:r>
              <w:rPr>
                <w:rFonts w:hint="default"/>
                <w:sz w:val="20"/>
                <w:szCs w:val="20"/>
              </w:rPr>
              <w:t>对全区土地资源管理重大问题，实行集体研究、民主决策</w:t>
            </w:r>
          </w:p>
        </w:tc>
        <w:tc>
          <w:tcPr>
            <w:tcW w:w="4228" w:type="dxa"/>
            <w:gridSpan w:val="2"/>
            <w:tcBorders>
              <w:tl2br w:val="nil"/>
              <w:tr2bl w:val="nil"/>
            </w:tcBorders>
            <w:vAlign w:val="center"/>
          </w:tcPr>
          <w:p>
            <w:pPr>
              <w:jc w:val="center"/>
              <w:rPr>
                <w:rFonts w:ascii="宋体" w:cs="宋体"/>
                <w:sz w:val="20"/>
              </w:rPr>
            </w:pPr>
            <w:r>
              <w:rPr>
                <w:sz w:val="20"/>
                <w:szCs w:val="20"/>
              </w:rPr>
              <w:t>提高了决策的科学性、民主性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vAlign w:val="center"/>
          </w:tcPr>
          <w:p>
            <w:pPr>
              <w:widowControl/>
              <w:jc w:val="left"/>
              <w:textAlignment w:val="center"/>
              <w:rPr>
                <w:rFonts w:ascii="宋体" w:cs="宋体"/>
                <w:sz w:val="20"/>
              </w:rPr>
            </w:pPr>
            <w:r>
              <w:rPr>
                <w:rFonts w:hint="eastAsia" w:ascii="宋体" w:hAnsi="宋体" w:eastAsia="宋体" w:cs="宋体"/>
                <w:color w:val="000000"/>
                <w:kern w:val="0"/>
                <w:sz w:val="20"/>
                <w:szCs w:val="20"/>
              </w:rPr>
              <w:t>指</w:t>
            </w:r>
            <w:r>
              <w:rPr>
                <w:rFonts w:hint="eastAsia"/>
                <w:sz w:val="20"/>
                <w:szCs w:val="20"/>
              </w:rPr>
              <w:t>标1：</w:t>
            </w:r>
            <w:r>
              <w:rPr>
                <w:rFonts w:hint="default"/>
                <w:sz w:val="20"/>
                <w:szCs w:val="20"/>
              </w:rPr>
              <w:t>项目实施对产业环境产生的影响</w:t>
            </w:r>
          </w:p>
        </w:tc>
        <w:tc>
          <w:tcPr>
            <w:tcW w:w="4228" w:type="dxa"/>
            <w:gridSpan w:val="2"/>
            <w:tcBorders>
              <w:tl2br w:val="nil"/>
              <w:tr2bl w:val="nil"/>
            </w:tcBorders>
            <w:vAlign w:val="center"/>
          </w:tcPr>
          <w:p>
            <w:pPr>
              <w:jc w:val="center"/>
              <w:rPr>
                <w:rFonts w:ascii="宋体" w:cs="宋体"/>
                <w:sz w:val="20"/>
              </w:rPr>
            </w:pPr>
            <w:r>
              <w:rPr>
                <w:rFonts w:hint="eastAsia" w:ascii="宋体" w:cs="宋体"/>
                <w:sz w:val="20"/>
                <w:lang w:eastAsia="zh-CN"/>
              </w:rPr>
              <w:t>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vAlign w:val="center"/>
          </w:tcPr>
          <w:p>
            <w:pPr>
              <w:jc w:val="center"/>
              <w:rPr>
                <w:rFonts w:ascii="宋体" w:cs="宋体"/>
                <w:sz w:val="20"/>
              </w:rPr>
            </w:pPr>
          </w:p>
        </w:tc>
        <w:tc>
          <w:tcPr>
            <w:tcW w:w="723" w:type="dxa"/>
            <w:vMerge w:val="continue"/>
            <w:tcBorders>
              <w:tl2br w:val="nil"/>
              <w:tr2bl w:val="nil"/>
            </w:tcBorders>
            <w:vAlign w:val="center"/>
          </w:tcPr>
          <w:p>
            <w:pPr>
              <w:jc w:val="center"/>
              <w:rPr>
                <w:rFonts w:ascii="宋体" w:cs="宋体"/>
                <w:sz w:val="20"/>
              </w:rPr>
            </w:pP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w:t>
            </w:r>
            <w:r>
              <w:rPr>
                <w:rFonts w:hint="default"/>
                <w:sz w:val="20"/>
                <w:szCs w:val="20"/>
              </w:rPr>
              <w:t>保障工作、提高办事效率</w:t>
            </w:r>
          </w:p>
        </w:tc>
        <w:tc>
          <w:tcPr>
            <w:tcW w:w="4228" w:type="dxa"/>
            <w:gridSpan w:val="2"/>
            <w:tcBorders>
              <w:tl2br w:val="nil"/>
              <w:tr2bl w:val="nil"/>
            </w:tcBorders>
            <w:vAlign w:val="center"/>
          </w:tcPr>
          <w:p>
            <w:pPr>
              <w:jc w:val="center"/>
              <w:rPr>
                <w:rFonts w:ascii="宋体" w:cs="宋体"/>
                <w:sz w:val="20"/>
              </w:rPr>
            </w:pPr>
            <w:r>
              <w:rPr>
                <w:rFonts w:hint="default"/>
                <w:sz w:val="20"/>
                <w:szCs w:val="20"/>
              </w:rPr>
              <w:t>能够保障工作，有效的提高办事效率和质量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vAlign w:val="center"/>
          </w:tcPr>
          <w:p>
            <w:pPr>
              <w:jc w:val="center"/>
              <w:rPr>
                <w:rFonts w:ascii="宋体" w:cs="宋体"/>
                <w:sz w:val="20"/>
              </w:rPr>
            </w:pPr>
          </w:p>
        </w:tc>
        <w:tc>
          <w:tcPr>
            <w:tcW w:w="723" w:type="dxa"/>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szCs w:val="20"/>
              </w:rPr>
              <w:t>指标1：</w:t>
            </w:r>
            <w:r>
              <w:rPr>
                <w:sz w:val="20"/>
                <w:szCs w:val="20"/>
              </w:rPr>
              <w:t>受益对象满意度</w:t>
            </w:r>
          </w:p>
        </w:tc>
        <w:tc>
          <w:tcPr>
            <w:tcW w:w="4228" w:type="dxa"/>
            <w:gridSpan w:val="2"/>
            <w:tcBorders>
              <w:tl2br w:val="nil"/>
              <w:tr2bl w:val="nil"/>
            </w:tcBorders>
            <w:vAlign w:val="center"/>
          </w:tcPr>
          <w:p>
            <w:pPr>
              <w:jc w:val="center"/>
              <w:rPr>
                <w:rFonts w:ascii="宋体" w:cs="宋体"/>
                <w:sz w:val="20"/>
              </w:rPr>
            </w:pPr>
            <w:r>
              <w:rPr>
                <w:sz w:val="20"/>
                <w:szCs w:val="20"/>
              </w:rPr>
              <w:t>≥</w:t>
            </w:r>
            <w:r>
              <w:rPr>
                <w:rFonts w:hint="eastAsia"/>
                <w:sz w:val="20"/>
                <w:szCs w:val="20"/>
              </w:rPr>
              <w:t>95%</w:t>
            </w:r>
          </w:p>
        </w:tc>
      </w:tr>
    </w:tbl>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淮北市国土资源局开发区分局</w:t>
      </w:r>
      <w:r>
        <w:rPr>
          <w:rFonts w:hint="eastAsia" w:ascii="TimesNewRoman" w:hAnsi="TimesNewRoman" w:eastAsia="仿宋_GB2312" w:cs="TimesNewRoman"/>
          <w:kern w:val="0"/>
          <w:sz w:val="32"/>
          <w:szCs w:val="32"/>
        </w:rPr>
        <w:t>2024年机关运行经费财政拨款预算</w:t>
      </w:r>
      <w:r>
        <w:rPr>
          <w:rFonts w:hint="eastAsia" w:ascii="TimesNewRoman" w:hAnsi="TimesNewRoman" w:eastAsia="仿宋_GB2312" w:cs="TimesNewRoman"/>
          <w:kern w:val="0"/>
          <w:sz w:val="32"/>
          <w:szCs w:val="32"/>
          <w:lang w:val="en-US" w:eastAsia="zh-CN"/>
        </w:rPr>
        <w:t>11.07</w:t>
      </w:r>
      <w:r>
        <w:rPr>
          <w:rFonts w:hint="eastAsia" w:ascii="TimesNewRoman" w:hAnsi="TimesNewRoman" w:eastAsia="仿宋_GB2312" w:cs="TimesNewRoman"/>
          <w:kern w:val="0"/>
          <w:sz w:val="32"/>
          <w:szCs w:val="32"/>
        </w:rPr>
        <w:t>万元，比2023年预算增加</w:t>
      </w:r>
      <w:r>
        <w:rPr>
          <w:rFonts w:hint="eastAsia" w:ascii="TimesNewRoman" w:hAnsi="TimesNewRoman" w:eastAsia="仿宋_GB2312" w:cs="TimesNewRoman"/>
          <w:kern w:val="0"/>
          <w:sz w:val="32"/>
          <w:szCs w:val="32"/>
          <w:lang w:val="en-US" w:eastAsia="zh-CN"/>
        </w:rPr>
        <w:t>3.52</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46.62</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新增两名在职人员</w:t>
      </w:r>
      <w:r>
        <w:rPr>
          <w:rFonts w:hint="eastAsia" w:ascii="TimesNewRoman" w:hAnsi="TimesNewRoman" w:eastAsia="仿宋_GB2312" w:cs="TimesNewRoman"/>
          <w:kern w:val="0"/>
          <w:sz w:val="32"/>
          <w:szCs w:val="32"/>
        </w:rPr>
        <w:t>。</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bCs/>
          <w:sz w:val="32"/>
          <w:szCs w:val="32"/>
        </w:rPr>
        <w:t>淮北市国土资源局开发区分局</w:t>
      </w:r>
      <w:r>
        <w:rPr>
          <w:rFonts w:hint="eastAsia" w:ascii="TimesNewRoman" w:hAnsi="TimesNewRoman" w:eastAsia="仿宋_GB2312" w:cs="TimesNewRoman"/>
          <w:kern w:val="0"/>
          <w:sz w:val="32"/>
          <w:szCs w:val="32"/>
        </w:rPr>
        <w:t>2024年政府采购预算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截至2023年12月31日，</w:t>
      </w:r>
      <w:r>
        <w:rPr>
          <w:rFonts w:hint="eastAsia" w:ascii="TimesNewRoman" w:hAnsi="TimesNewRoman" w:eastAsia="仿宋_GB2312" w:cs="TimesNewRoman"/>
          <w:bCs/>
          <w:sz w:val="32"/>
          <w:szCs w:val="32"/>
        </w:rPr>
        <w:t>淮北市国土资源局开发区分局</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2024年部门（单位）预算安排购置公务用车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adjustRightInd w:val="0"/>
        <w:snapToGrid w:val="0"/>
        <w:spacing w:line="580" w:lineRule="exact"/>
        <w:ind w:firstLine="643"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pPr>
        <w:ind w:firstLine="640" w:firstLineChars="200"/>
        <w:rPr>
          <w:rFonts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2024年，</w:t>
      </w:r>
      <w:r>
        <w:rPr>
          <w:rFonts w:hint="eastAsia" w:ascii="TimesNewRoman" w:hAnsi="TimesNewRoman" w:eastAsia="仿宋_GB2312" w:cs="TimesNewRoman"/>
          <w:bCs/>
          <w:sz w:val="32"/>
          <w:szCs w:val="32"/>
        </w:rPr>
        <w:t>淮北市国土资源局开发区分局</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个项目实行了绩效目标管理，涉及一般公共预算当年财政拨款</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万元、政府性基金预算当年财政拨款</w:t>
      </w:r>
      <w:r>
        <w:rPr>
          <w:rFonts w:hint="eastAsia" w:ascii="TimesNewRoman" w:hAnsi="TimesNewRoman" w:eastAsia="仿宋_GB2312" w:cs="TimesNewRoman"/>
          <w:kern w:val="0"/>
          <w:sz w:val="32"/>
          <w:szCs w:val="32"/>
          <w:lang w:val="en-US" w:eastAsia="zh-CN"/>
        </w:rPr>
        <w:t>34.1</w:t>
      </w:r>
      <w:r>
        <w:rPr>
          <w:rFonts w:hint="eastAsia" w:ascii="TimesNewRoman" w:hAnsi="TimesNewRoman" w:eastAsia="仿宋_GB2312" w:cs="TimesNewRoman"/>
          <w:kern w:val="0"/>
          <w:sz w:val="32"/>
          <w:szCs w:val="32"/>
        </w:rPr>
        <w:t>万元、财政专户管理资金当年安排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pPr>
        <w:pStyle w:val="5"/>
        <w:adjustRightInd w:val="0"/>
        <w:snapToGrid w:val="0"/>
        <w:spacing w:line="560" w:lineRule="exact"/>
        <w:jc w:val="center"/>
        <w:rPr>
          <w:rFonts w:ascii="TimesNewRoman" w:hAnsi="TimesNewRoman" w:eastAsia="黑体" w:cs="TimesNewRoman"/>
          <w:bCs/>
          <w:sz w:val="36"/>
          <w:szCs w:val="36"/>
        </w:rPr>
      </w:pPr>
    </w:p>
    <w:p>
      <w:pPr>
        <w:pStyle w:val="5"/>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pPr>
        <w:pStyle w:val="5"/>
        <w:adjustRightInd w:val="0"/>
        <w:snapToGrid w:val="0"/>
        <w:spacing w:line="560" w:lineRule="exact"/>
        <w:ind w:firstLine="630"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 xml:space="preserve">十、机关运行经费: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B332B"/>
    <w:multiLevelType w:val="singleLevel"/>
    <w:tmpl w:val="101B332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M5ZmY4OTBmZDI5Mzk3ZmQ2OWQxNGMyYzMxZDUyYzIifQ=="/>
  </w:docVars>
  <w:rsids>
    <w:rsidRoot w:val="00E907C4"/>
    <w:rsid w:val="000E28EE"/>
    <w:rsid w:val="00267E33"/>
    <w:rsid w:val="004A4DC6"/>
    <w:rsid w:val="0057562B"/>
    <w:rsid w:val="006546AF"/>
    <w:rsid w:val="00726D96"/>
    <w:rsid w:val="008F6D1A"/>
    <w:rsid w:val="009A3CA3"/>
    <w:rsid w:val="00AE3242"/>
    <w:rsid w:val="00BD640A"/>
    <w:rsid w:val="00DB2A5C"/>
    <w:rsid w:val="00E907C4"/>
    <w:rsid w:val="00EC7755"/>
    <w:rsid w:val="00F974AD"/>
    <w:rsid w:val="15C0135D"/>
    <w:rsid w:val="1B2C372B"/>
    <w:rsid w:val="23F515A0"/>
    <w:rsid w:val="2FDE452F"/>
    <w:rsid w:val="30017608"/>
    <w:rsid w:val="32AE418A"/>
    <w:rsid w:val="3E7F160D"/>
    <w:rsid w:val="46A93334"/>
    <w:rsid w:val="4DC269E8"/>
    <w:rsid w:val="546D4E23"/>
    <w:rsid w:val="554F2EB0"/>
    <w:rsid w:val="5AD94BF4"/>
    <w:rsid w:val="624E018D"/>
    <w:rsid w:val="644A7E43"/>
    <w:rsid w:val="6B9B0077"/>
    <w:rsid w:val="6E876DB3"/>
    <w:rsid w:val="6FB02216"/>
    <w:rsid w:val="7BFA1CF7"/>
    <w:rsid w:val="7CE76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Cs w:val="32"/>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983</Words>
  <Characters>5608</Characters>
  <Lines>46</Lines>
  <Paragraphs>13</Paragraphs>
  <TotalTime>1</TotalTime>
  <ScaleCrop>false</ScaleCrop>
  <LinksUpToDate>false</LinksUpToDate>
  <CharactersWithSpaces>6578</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Administrator</cp:lastModifiedBy>
  <dcterms:modified xsi:type="dcterms:W3CDTF">2024-03-04T08:39:25Z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892652816D4045C4BD57E7A376225186_12</vt:lpwstr>
  </property>
</Properties>
</file>